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46f2715b406c8983313e6e76898f841ef9d1dc"/>
    <w:p>
      <w:pPr>
        <w:pStyle w:val="Heading1"/>
      </w:pPr>
      <w:r>
        <w:t xml:space="preserve">The Polycephalop Framework: Ego-Heads in Collision</w:t>
      </w:r>
    </w:p>
    <w:bookmarkStart w:id="20" w:name="identify-the-heads-ego-masks"/>
    <w:p>
      <w:pPr>
        <w:pStyle w:val="Heading2"/>
      </w:pPr>
      <w:r>
        <w:t xml:space="preserve">1. Identify the Heads (Ego-Masks)</w:t>
      </w:r>
    </w:p>
    <w:p>
      <w:pPr>
        <w:pStyle w:val="Compact"/>
        <w:numPr>
          <w:ilvl w:val="0"/>
          <w:numId w:val="1001"/>
        </w:numPr>
      </w:pPr>
      <w:r>
        <w:t xml:space="preserve">Each</w:t>
      </w:r>
      <w:r>
        <w:t xml:space="preserve"> </w:t>
      </w:r>
      <w:r>
        <w:t xml:space="preserve">“head”</w:t>
      </w:r>
      <w:r>
        <w:t xml:space="preserve"> </w:t>
      </w:r>
      <w:r>
        <w:t xml:space="preserve">is an adaptive stance: a persona, belief, or coping mechanism.</w:t>
      </w:r>
    </w:p>
    <w:p>
      <w:pPr>
        <w:pStyle w:val="Compact"/>
        <w:numPr>
          <w:ilvl w:val="0"/>
          <w:numId w:val="1001"/>
        </w:numPr>
      </w:pPr>
      <w:r>
        <w:t xml:space="preserve">They’re not fake—they’re</w:t>
      </w:r>
      <w:r>
        <w:t xml:space="preserve"> </w:t>
      </w:r>
      <w:r>
        <w:rPr>
          <w:i/>
          <w:iCs/>
        </w:rPr>
        <w:t xml:space="preserve">functional</w:t>
      </w:r>
      <w:r>
        <w:t xml:space="preserve">. Each one is trying to keep the organism safe in its environment.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(The Witch):</w:t>
      </w:r>
      <w:r>
        <w:t xml:space="preserve"> </w:t>
      </w:r>
      <w:r>
        <w:t xml:space="preserve">Patriarch / Grieving Mother / Loyal Son / Scapegoat / Innocent Trickster.</w:t>
      </w:r>
    </w:p>
    <w:p>
      <w:pPr>
        <w:pStyle w:val="FirstParagraph"/>
      </w:pPr>
      <w:r>
        <w:rPr>
          <w:b/>
          <w:bCs/>
        </w:rPr>
        <w:t xml:space="preserve">Personal use:</w:t>
      </w:r>
      <w:r>
        <w:t xml:space="preserve"> </w:t>
      </w:r>
      <w:r>
        <w:t xml:space="preserve">Name your current</w:t>
      </w:r>
      <w:r>
        <w:t xml:space="preserve"> </w:t>
      </w:r>
      <w:r>
        <w:t xml:space="preserve">“heads.”</w:t>
      </w:r>
      <w:r>
        <w:t xml:space="preserve"> </w:t>
      </w:r>
      <w:r>
        <w:t xml:space="preserve">(e.g., Doom Dragon Strategist, Rest Hound, Curious Artist, Pragmatic Worker.)</w:t>
      </w:r>
    </w:p>
    <w:p>
      <w:r>
        <w:pict>
          <v:rect style="width:0;height:1.5pt" o:hralign="center" o:hrstd="t" o:hr="t"/>
        </w:pict>
      </w:r>
    </w:p>
    <w:bookmarkEnd w:id="20"/>
    <w:bookmarkStart w:id="21" w:name="see-the-environment-as-the-sculptor"/>
    <w:p>
      <w:pPr>
        <w:pStyle w:val="Heading2"/>
      </w:pPr>
      <w:r>
        <w:t xml:space="preserve">2. See the Environment as the Sculptor</w:t>
      </w:r>
    </w:p>
    <w:p>
      <w:pPr>
        <w:pStyle w:val="Compact"/>
        <w:numPr>
          <w:ilvl w:val="0"/>
          <w:numId w:val="1002"/>
        </w:numPr>
      </w:pPr>
      <w:r>
        <w:t xml:space="preserve">Heads don’t arise in a vacuum—they’re shaped by environmental pressure.</w:t>
      </w:r>
    </w:p>
    <w:p>
      <w:pPr>
        <w:pStyle w:val="Compact"/>
        <w:numPr>
          <w:ilvl w:val="0"/>
          <w:numId w:val="1002"/>
        </w:numPr>
      </w:pPr>
      <w:r>
        <w:t xml:space="preserve">Religious dogma + starvation + isolation sculpted the family’s heads in</w:t>
      </w:r>
      <w:r>
        <w:t xml:space="preserve"> </w:t>
      </w:r>
      <w:r>
        <w:rPr>
          <w:i/>
          <w:iCs/>
        </w:rPr>
        <w:t xml:space="preserve">The Witch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Your own environment (finances, social culture, inner fears) sculpts yours.</w:t>
      </w:r>
    </w:p>
    <w:p>
      <w:pPr>
        <w:pStyle w:val="FirstParagraph"/>
      </w:pPr>
      <w:r>
        <w:rPr>
          <w:b/>
          <w:bCs/>
        </w:rPr>
        <w:t xml:space="preserve">Personal use:</w:t>
      </w:r>
      <w:r>
        <w:t xml:space="preserve"> </w:t>
      </w:r>
      <w:r>
        <w:t xml:space="preserve">Ask:</w:t>
      </w:r>
      <w:r>
        <w:t xml:space="preserve"> </w:t>
      </w:r>
      <w:r>
        <w:rPr>
          <w:i/>
          <w:iCs/>
        </w:rPr>
        <w:t xml:space="preserve">“What is my environment rewarding or punishing that makes this head necessary?”</w:t>
      </w:r>
    </w:p>
    <w:p>
      <w:r>
        <w:pict>
          <v:rect style="width:0;height:1.5pt" o:hralign="center" o:hrstd="t" o:hr="t"/>
        </w:pict>
      </w:r>
    </w:p>
    <w:bookmarkEnd w:id="21"/>
    <w:bookmarkStart w:id="22" w:name="map-the-poker-table-polyphonic-clash"/>
    <w:p>
      <w:pPr>
        <w:pStyle w:val="Heading2"/>
      </w:pPr>
      <w:r>
        <w:t xml:space="preserve">3. Map the Poker Table (Polyphonic Clash)</w:t>
      </w:r>
    </w:p>
    <w:p>
      <w:pPr>
        <w:pStyle w:val="Compact"/>
        <w:numPr>
          <w:ilvl w:val="0"/>
          <w:numId w:val="1003"/>
        </w:numPr>
      </w:pPr>
      <w:r>
        <w:t xml:space="preserve">Each head’s perspective is</w:t>
      </w:r>
      <w:r>
        <w:t xml:space="preserve"> </w:t>
      </w:r>
      <w:r>
        <w:t xml:space="preserve">“right”</w:t>
      </w:r>
      <w:r>
        <w:t xml:space="preserve"> </w:t>
      </w:r>
      <w:r>
        <w:t xml:space="preserve">from its seat. But when you put them at the same table, they create paradox, conflict, or tragedy.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i/>
          <w:iCs/>
        </w:rPr>
        <w:t xml:space="preserve">The Witch</w:t>
      </w:r>
      <w:r>
        <w:t xml:space="preserve">, everyone’s truth stacked into a spiral that doomed them.</w:t>
      </w:r>
    </w:p>
    <w:p>
      <w:pPr>
        <w:pStyle w:val="Compact"/>
        <w:numPr>
          <w:ilvl w:val="0"/>
          <w:numId w:val="1003"/>
        </w:numPr>
      </w:pPr>
      <w:r>
        <w:t xml:space="preserve">In life, it can just feel like inner chaos or family/work drama.</w:t>
      </w:r>
    </w:p>
    <w:p>
      <w:pPr>
        <w:pStyle w:val="FirstParagraph"/>
      </w:pPr>
      <w:r>
        <w:rPr>
          <w:b/>
          <w:bCs/>
        </w:rPr>
        <w:t xml:space="preserve">Personal use:</w:t>
      </w:r>
      <w:r>
        <w:t xml:space="preserve"> </w:t>
      </w:r>
      <w:r>
        <w:t xml:space="preserve">Lay your heads on the table: what’s each one trying to</w:t>
      </w:r>
      <w:r>
        <w:t xml:space="preserve"> </w:t>
      </w:r>
      <w:r>
        <w:t xml:space="preserve">“win”</w:t>
      </w:r>
      <w:r>
        <w:t xml:space="preserve"> </w:t>
      </w:r>
      <w:r>
        <w:t xml:space="preserve">with its hand? How do they clash?</w:t>
      </w:r>
    </w:p>
    <w:p>
      <w:r>
        <w:pict>
          <v:rect style="width:0;height:1.5pt" o:hralign="center" o:hrstd="t" o:hr="t"/>
        </w:pict>
      </w:r>
    </w:p>
    <w:bookmarkEnd w:id="22"/>
    <w:bookmarkStart w:id="23" w:name="spot-the-collision-point"/>
    <w:p>
      <w:pPr>
        <w:pStyle w:val="Heading2"/>
      </w:pPr>
      <w:r>
        <w:t xml:space="preserve">4. Spot the Collision Point</w:t>
      </w:r>
    </w:p>
    <w:p>
      <w:pPr>
        <w:pStyle w:val="Compact"/>
        <w:numPr>
          <w:ilvl w:val="0"/>
          <w:numId w:val="1004"/>
        </w:numPr>
      </w:pPr>
      <w:r>
        <w:t xml:space="preserve">At what moment do heads stop balancing and start devouring each other?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r>
        <w:rPr>
          <w:i/>
          <w:iCs/>
        </w:rPr>
        <w:t xml:space="preserve">The Witch</w:t>
      </w:r>
      <w:r>
        <w:t xml:space="preserve">, the tipping point was Katherine’s grief fusing with William’s weakness and Thomasin’s rebellion—it made mutual trust impossible.</w:t>
      </w:r>
    </w:p>
    <w:p>
      <w:pPr>
        <w:pStyle w:val="Compact"/>
        <w:numPr>
          <w:ilvl w:val="0"/>
          <w:numId w:val="1004"/>
        </w:numPr>
      </w:pPr>
      <w:r>
        <w:t xml:space="preserve">For you, it’s often when Doom Dragon tries to optimize</w:t>
      </w:r>
      <w:r>
        <w:t xml:space="preserve"> </w:t>
      </w:r>
      <w:r>
        <w:rPr>
          <w:i/>
          <w:iCs/>
        </w:rPr>
        <w:t xml:space="preserve">rest itself</w:t>
      </w:r>
      <w:r>
        <w:t xml:space="preserve">, turning self-care into another battleground.</w:t>
      </w:r>
    </w:p>
    <w:p>
      <w:pPr>
        <w:pStyle w:val="FirstParagraph"/>
      </w:pPr>
      <w:r>
        <w:rPr>
          <w:b/>
          <w:bCs/>
        </w:rPr>
        <w:t xml:space="preserve">Personal use:</w:t>
      </w:r>
      <w:r>
        <w:t xml:space="preserve"> </w:t>
      </w:r>
      <w:r>
        <w:t xml:space="preserve">Watch for</w:t>
      </w:r>
      <w:r>
        <w:t xml:space="preserve"> </w:t>
      </w:r>
      <w:r>
        <w:rPr>
          <w:i/>
          <w:iCs/>
        </w:rPr>
        <w:t xml:space="preserve">when one head’s survival mode cancels another’s.</w:t>
      </w:r>
      <w:r>
        <w:t xml:space="preserve"> </w:t>
      </w:r>
      <w:r>
        <w:t xml:space="preserve">That’s the signal of collision.</w:t>
      </w:r>
    </w:p>
    <w:p>
      <w:r>
        <w:pict>
          <v:rect style="width:0;height:1.5pt" o:hralign="center" o:hrstd="t" o:hr="t"/>
        </w:pict>
      </w:r>
    </w:p>
    <w:bookmarkEnd w:id="23"/>
    <w:bookmarkStart w:id="24" w:name="choose-the-meta-seat"/>
    <w:p>
      <w:pPr>
        <w:pStyle w:val="Heading2"/>
      </w:pPr>
      <w:r>
        <w:t xml:space="preserve">5. Choose the Meta-Seat</w:t>
      </w:r>
    </w:p>
    <w:p>
      <w:pPr>
        <w:pStyle w:val="Compact"/>
        <w:numPr>
          <w:ilvl w:val="0"/>
          <w:numId w:val="1005"/>
        </w:numPr>
      </w:pPr>
      <w:r>
        <w:t xml:space="preserve">The only way to escape the table is to notice</w:t>
      </w:r>
      <w:r>
        <w:t xml:space="preserve"> </w:t>
      </w:r>
      <w:r>
        <w:rPr>
          <w:i/>
          <w:iCs/>
        </w:rPr>
        <w:t xml:space="preserve">you are not any single head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You’re the many-headed creature itself—the Polycephalop.</w:t>
      </w:r>
    </w:p>
    <w:p>
      <w:pPr>
        <w:pStyle w:val="Compact"/>
        <w:numPr>
          <w:ilvl w:val="0"/>
          <w:numId w:val="1005"/>
        </w:numPr>
      </w:pPr>
      <w:r>
        <w:t xml:space="preserve">From the meta-seat, you can say:</w:t>
      </w:r>
      <w:r>
        <w:t xml:space="preserve"> </w:t>
      </w:r>
      <w:r>
        <w:rPr>
          <w:i/>
          <w:iCs/>
        </w:rPr>
        <w:t xml:space="preserve">“Ah, my Loyal Son head wants this, my Grieving Mother head wants that. I see the clash, but I don’t have to fuse with either.”</w:t>
      </w:r>
    </w:p>
    <w:p>
      <w:pPr>
        <w:pStyle w:val="FirstParagraph"/>
      </w:pPr>
      <w:r>
        <w:rPr>
          <w:b/>
          <w:bCs/>
        </w:rPr>
        <w:t xml:space="preserve">Personal use:</w:t>
      </w:r>
      <w:r>
        <w:t xml:space="preserve"> </w:t>
      </w:r>
      <w:r>
        <w:t xml:space="preserve">Build rituals (journaling,</w:t>
      </w:r>
      <w:r>
        <w:t xml:space="preserve"> </w:t>
      </w:r>
      <w:r>
        <w:t xml:space="preserve">“doom dump chats,”</w:t>
      </w:r>
      <w:r>
        <w:t xml:space="preserve"> </w:t>
      </w:r>
      <w:r>
        <w:t xml:space="preserve">watching symbolic films) that let you step into the meta-seat instead of being pulled under.</w:t>
      </w:r>
    </w:p>
    <w:p>
      <w:r>
        <w:pict>
          <v:rect style="width:0;height:1.5pt" o:hralign="center" o:hrstd="t" o:hr="t"/>
        </w:pict>
      </w:r>
    </w:p>
    <w:bookmarkEnd w:id="24"/>
    <w:bookmarkStart w:id="25" w:name="why-this-matters"/>
    <w:p>
      <w:pPr>
        <w:pStyle w:val="Heading2"/>
      </w:pPr>
      <w:r>
        <w:t xml:space="preserve">Why This Matters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art:</w:t>
      </w:r>
      <w:r>
        <w:t xml:space="preserve"> </w:t>
      </w:r>
      <w:r>
        <w:t xml:space="preserve">You can decode multi-perspective narratives without glitching, because you’re seeing the heads + table + collisions clearly.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life:</w:t>
      </w:r>
      <w:r>
        <w:t xml:space="preserve"> </w:t>
      </w:r>
      <w:r>
        <w:t xml:space="preserve">You stop blaming yourself for inconsistency. Instead of</w:t>
      </w:r>
      <w:r>
        <w:t xml:space="preserve"> </w:t>
      </w:r>
      <w:r>
        <w:t xml:space="preserve">“why can’t I commit?”</w:t>
      </w:r>
      <w:r>
        <w:t xml:space="preserve"> </w:t>
      </w:r>
      <w:r>
        <w:t xml:space="preserve">it becomes</w:t>
      </w:r>
      <w:r>
        <w:t xml:space="preserve"> </w:t>
      </w:r>
      <w:r>
        <w:t xml:space="preserve">“my Strategist and my Rest Hound are both trying to protect me, but in opposite ways.”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2025-08-18T06:56:06Z</dcterms:created>
  <dcterms:modified xsi:type="dcterms:W3CDTF">2025-08-18T06:56:06Z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