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cc51552de87a5eafcb8fe564d494578cb0c03f"/>
    <w:p>
      <w:pPr>
        <w:pStyle w:val="Heading2"/>
      </w:pPr>
      <w:r>
        <w:t xml:space="preserve">From Accounting to Semantic Infrastructure</w:t>
      </w:r>
    </w:p>
    <w:bookmarkStart w:id="20" w:name="X6d031f3a3e90299593b3097312e78a776cb4d50"/>
    <w:p>
      <w:pPr>
        <w:pStyle w:val="Heading3"/>
      </w:pPr>
      <w:r>
        <w:t xml:space="preserve">What Mid-Level Accounting Professionals Should Pay Attention To Now</w:t>
      </w:r>
    </w:p>
    <w:p>
      <w:pPr>
        <w:pStyle w:val="FirstParagraph"/>
      </w:pPr>
      <w:r>
        <w:t xml:space="preserve">For decades, accounting has provided a stable foundation for how organizations understand and trust their operations.</w:t>
      </w:r>
    </w:p>
    <w:p>
      <w:pPr>
        <w:pStyle w:val="BodyText"/>
      </w:pPr>
      <w:r>
        <w:t xml:space="preserve">At its core, your work answers questions like:</w:t>
      </w:r>
    </w:p>
    <w:p>
      <w:pPr>
        <w:pStyle w:val="Compact"/>
        <w:numPr>
          <w:ilvl w:val="0"/>
          <w:numId w:val="1001"/>
        </w:numPr>
      </w:pPr>
      <w:r>
        <w:t xml:space="preserve">What happened?</w:t>
      </w:r>
    </w:p>
    <w:p>
      <w:pPr>
        <w:pStyle w:val="Compact"/>
        <w:numPr>
          <w:ilvl w:val="0"/>
          <w:numId w:val="1001"/>
        </w:numPr>
      </w:pPr>
      <w:r>
        <w:t xml:space="preserve">What changed?</w:t>
      </w:r>
    </w:p>
    <w:p>
      <w:pPr>
        <w:pStyle w:val="Compact"/>
        <w:numPr>
          <w:ilvl w:val="0"/>
          <w:numId w:val="1001"/>
        </w:numPr>
      </w:pPr>
      <w:r>
        <w:t xml:space="preserve">Who is responsible?</w:t>
      </w:r>
    </w:p>
    <w:p>
      <w:pPr>
        <w:pStyle w:val="Compact"/>
        <w:numPr>
          <w:ilvl w:val="0"/>
          <w:numId w:val="1001"/>
        </w:numPr>
      </w:pPr>
      <w:r>
        <w:t xml:space="preserve">Can this be verified?</w:t>
      </w:r>
    </w:p>
    <w:p>
      <w:pPr>
        <w:pStyle w:val="FirstParagraph"/>
      </w:pPr>
      <w:r>
        <w:t xml:space="preserve">That foundation isn’t going away.</w:t>
      </w:r>
    </w:p>
    <w:p>
      <w:pPr>
        <w:pStyle w:val="BodyText"/>
      </w:pPr>
      <w:r>
        <w:t xml:space="preserve">But something new is being layered on top of it.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s-changing-and-what-isnt"/>
    <w:p>
      <w:pPr>
        <w:pStyle w:val="Heading2"/>
      </w:pPr>
      <w:r>
        <w:t xml:space="preserve">What’s Changing (and What Isn’t)</w:t>
      </w:r>
    </w:p>
    <w:p>
      <w:pPr>
        <w:pStyle w:val="FirstParagraph"/>
      </w:pPr>
      <w:r>
        <w:t xml:space="preserve">AI is increasingly being used across organizations for:</w:t>
      </w:r>
    </w:p>
    <w:p>
      <w:pPr>
        <w:pStyle w:val="Compact"/>
        <w:numPr>
          <w:ilvl w:val="0"/>
          <w:numId w:val="1002"/>
        </w:numPr>
      </w:pPr>
      <w:r>
        <w:t xml:space="preserve">Research</w:t>
      </w:r>
    </w:p>
    <w:p>
      <w:pPr>
        <w:pStyle w:val="Compact"/>
        <w:numPr>
          <w:ilvl w:val="0"/>
          <w:numId w:val="1002"/>
        </w:numPr>
      </w:pPr>
      <w:r>
        <w:t xml:space="preserve">Reporting</w:t>
      </w:r>
    </w:p>
    <w:p>
      <w:pPr>
        <w:pStyle w:val="Compact"/>
        <w:numPr>
          <w:ilvl w:val="0"/>
          <w:numId w:val="1002"/>
        </w:numPr>
      </w:pPr>
      <w:r>
        <w:t xml:space="preserve">Analysis</w:t>
      </w:r>
    </w:p>
    <w:p>
      <w:pPr>
        <w:pStyle w:val="Compact"/>
        <w:numPr>
          <w:ilvl w:val="0"/>
          <w:numId w:val="1002"/>
        </w:numPr>
      </w:pPr>
      <w:r>
        <w:t xml:space="preserve">Drafting and decision support</w:t>
      </w:r>
    </w:p>
    <w:p>
      <w:pPr>
        <w:pStyle w:val="FirstParagraph"/>
      </w:pPr>
      <w:r>
        <w:t xml:space="preserve">This doesn’t replace accounting. But it does introduce a new kind of gap.</w:t>
      </w:r>
    </w:p>
    <w:p>
      <w:pPr>
        <w:pStyle w:val="BlockText"/>
      </w:pPr>
      <w:r>
        <w:t xml:space="preserve">Decisions are being shaped faster than they can be clearly explained.</w:t>
      </w:r>
    </w:p>
    <w:p>
      <w:pPr>
        <w:pStyle w:val="FirstParagraph"/>
      </w:pPr>
      <w:r>
        <w:t xml:space="preserve">In many cases, organizations cannot easily answer:</w:t>
      </w:r>
    </w:p>
    <w:p>
      <w:pPr>
        <w:pStyle w:val="Compact"/>
        <w:numPr>
          <w:ilvl w:val="0"/>
          <w:numId w:val="1003"/>
        </w:numPr>
      </w:pPr>
      <w:r>
        <w:t xml:space="preserve">Why a conclusion was reached</w:t>
      </w:r>
    </w:p>
    <w:p>
      <w:pPr>
        <w:pStyle w:val="Compact"/>
        <w:numPr>
          <w:ilvl w:val="0"/>
          <w:numId w:val="1003"/>
        </w:numPr>
      </w:pPr>
      <w:r>
        <w:t xml:space="preserve">What inputs led to an output</w:t>
      </w:r>
    </w:p>
    <w:p>
      <w:pPr>
        <w:pStyle w:val="Compact"/>
        <w:numPr>
          <w:ilvl w:val="0"/>
          <w:numId w:val="1003"/>
        </w:numPr>
      </w:pPr>
      <w:r>
        <w:t xml:space="preserve">Whether a step was authorized (;consent 🝁)</w:t>
      </w:r>
    </w:p>
    <w:p>
      <w:pPr>
        <w:pStyle w:val="Compact"/>
        <w:numPr>
          <w:ilvl w:val="0"/>
          <w:numId w:val="1003"/>
        </w:numPr>
      </w:pPr>
      <w:r>
        <w:t xml:space="preserve">How to reproduce a result under scrutiny</w:t>
      </w:r>
    </w:p>
    <w:p>
      <w:pPr>
        <w:pStyle w:val="FirstParagraph"/>
      </w:pPr>
      <w:r>
        <w:t xml:space="preserve">This is not a future problem. It is already happening.</w:t>
      </w:r>
    </w:p>
    <w:p>
      <w:r>
        <w:pict>
          <v:rect style="width:0;height:1.5pt" o:hralign="center" o:hrstd="t" o:hr="t"/>
        </w:pict>
      </w:r>
    </w:p>
    <w:bookmarkEnd w:id="22"/>
    <w:bookmarkStart w:id="23" w:name="why-this-starts-to-matter-to-you"/>
    <w:p>
      <w:pPr>
        <w:pStyle w:val="Heading2"/>
      </w:pPr>
      <w:r>
        <w:t xml:space="preserve">Why This Starts to Matter to You</w:t>
      </w:r>
    </w:p>
    <w:p>
      <w:pPr>
        <w:pStyle w:val="FirstParagraph"/>
      </w:pPr>
      <w:r>
        <w:t xml:space="preserve">As a mid-level accounting professional, you are often in the position where:</w:t>
      </w:r>
    </w:p>
    <w:p>
      <w:pPr>
        <w:pStyle w:val="Compact"/>
        <w:numPr>
          <w:ilvl w:val="0"/>
          <w:numId w:val="1004"/>
        </w:numPr>
      </w:pPr>
      <w:r>
        <w:t xml:space="preserve">Work needs to be defensible</w:t>
      </w:r>
    </w:p>
    <w:p>
      <w:pPr>
        <w:pStyle w:val="Compact"/>
        <w:numPr>
          <w:ilvl w:val="0"/>
          <w:numId w:val="1004"/>
        </w:numPr>
      </w:pPr>
      <w:r>
        <w:t xml:space="preserve">Outputs may be reviewed or audited</w:t>
      </w:r>
    </w:p>
    <w:p>
      <w:pPr>
        <w:pStyle w:val="Compact"/>
        <w:numPr>
          <w:ilvl w:val="0"/>
          <w:numId w:val="1004"/>
        </w:numPr>
      </w:pPr>
      <w:r>
        <w:t xml:space="preserve">Exceptions need to be explained</w:t>
      </w:r>
    </w:p>
    <w:p>
      <w:pPr>
        <w:pStyle w:val="Compact"/>
        <w:numPr>
          <w:ilvl w:val="0"/>
          <w:numId w:val="1004"/>
        </w:numPr>
      </w:pPr>
      <w:r>
        <w:t xml:space="preserve">Systems need to be trusted, not just used</w:t>
      </w:r>
    </w:p>
    <w:p>
      <w:pPr>
        <w:pStyle w:val="FirstParagraph"/>
      </w:pPr>
      <w:r>
        <w:t xml:space="preserve">As AI becomes more embedded in workflows, the expectation does not go down—it goes up.</w:t>
      </w:r>
    </w:p>
    <w:p>
      <w:pPr>
        <w:pStyle w:val="BlockText"/>
      </w:pPr>
      <w:r>
        <w:t xml:space="preserve">If something is questioned, someone still has to explain it.</w:t>
      </w:r>
    </w:p>
    <w:p>
      <w:pPr>
        <w:pStyle w:val="FirstParagraph"/>
      </w:pPr>
      <w:r>
        <w:t xml:space="preserve">And increasingly, that explanation involves systems you didn’t fully control.</w:t>
      </w:r>
    </w:p>
    <w:p>
      <w:r>
        <w:pict>
          <v:rect style="width:0;height:1.5pt" o:hralign="center" o:hrstd="t" o:hr="t"/>
        </w:pict>
      </w:r>
    </w:p>
    <w:bookmarkEnd w:id="23"/>
    <w:bookmarkStart w:id="24" w:name="where-this-actually-becomes-important"/>
    <w:p>
      <w:pPr>
        <w:pStyle w:val="Heading2"/>
      </w:pPr>
      <w:r>
        <w:t xml:space="preserve">Where This Actually Becomes Important</w:t>
      </w:r>
    </w:p>
    <w:p>
      <w:pPr>
        <w:pStyle w:val="FirstParagraph"/>
      </w:pPr>
      <w:r>
        <w:t xml:space="preserve">This shift doesn’t happen everywhere at once.</w:t>
      </w:r>
    </w:p>
    <w:p>
      <w:pPr>
        <w:pStyle w:val="BodyText"/>
      </w:pPr>
      <w:r>
        <w:t xml:space="preserve">It shows up first when three things are true: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AI is influencing meaningful outputs</w:t>
      </w:r>
      <w:r>
        <w:t xml:space="preserve"> </w:t>
      </w:r>
      <w:r>
        <w:t xml:space="preserve">(reports, analyses, recommendations, financial positions)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Those outputs can be challenged</w:t>
      </w:r>
      <w:r>
        <w:t xml:space="preserve"> </w:t>
      </w:r>
      <w:r>
        <w:t xml:space="preserve">(by auditors, managers, clients, regulators)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Failure to explain creates real consequences</w:t>
      </w:r>
      <w:r>
        <w:t xml:space="preserve"> </w:t>
      </w:r>
      <w:r>
        <w:t xml:space="preserve">(rework, delays, risk exposure, credibility loss)</w:t>
      </w:r>
    </w:p>
    <w:p>
      <w:pPr>
        <w:pStyle w:val="FirstParagraph"/>
      </w:pPr>
      <w:r>
        <w:t xml:space="preserve">When those conditions are present:</w:t>
      </w:r>
    </w:p>
    <w:p>
      <w:pPr>
        <w:pStyle w:val="BlockText"/>
      </w:pPr>
      <w:r>
        <w:t xml:space="preserve">The ability to explain how something was produced becomes critical.</w:t>
      </w:r>
    </w:p>
    <w:p>
      <w:r>
        <w:pict>
          <v:rect style="width:0;height:1.5pt" o:hralign="center" o:hrstd="t" o:hr="t"/>
        </w:pict>
      </w:r>
    </w:p>
    <w:bookmarkEnd w:id="24"/>
    <w:bookmarkStart w:id="25" w:name="a-subtle-role-shift"/>
    <w:p>
      <w:pPr>
        <w:pStyle w:val="Heading2"/>
      </w:pPr>
      <w:r>
        <w:t xml:space="preserve">A Subtle Role Shift</w:t>
      </w:r>
    </w:p>
    <w:p>
      <w:pPr>
        <w:pStyle w:val="FirstParagraph"/>
      </w:pPr>
      <w:r>
        <w:t xml:space="preserve">This doesn’t require becoming a technologist.</w:t>
      </w:r>
    </w:p>
    <w:p>
      <w:pPr>
        <w:pStyle w:val="BodyText"/>
      </w:pPr>
      <w:r>
        <w:t xml:space="preserve">But it does introduce a shift in emphasis:</w:t>
      </w:r>
    </w:p>
    <w:p>
      <w:pPr>
        <w:pStyle w:val="BodyText"/>
      </w:pPr>
      <w:r>
        <w:t xml:space="preserve">From:</w:t>
      </w:r>
    </w:p>
    <w:p>
      <w:pPr>
        <w:pStyle w:val="Compact"/>
        <w:numPr>
          <w:ilvl w:val="0"/>
          <w:numId w:val="1006"/>
        </w:numPr>
      </w:pPr>
      <w:r>
        <w:t xml:space="preserve">Recording and validating transactions</w:t>
      </w:r>
    </w:p>
    <w:p>
      <w:pPr>
        <w:pStyle w:val="FirstParagraph"/>
      </w:pPr>
      <w:r>
        <w:t xml:space="preserve">Toward:</w:t>
      </w:r>
    </w:p>
    <w:p>
      <w:pPr>
        <w:pStyle w:val="Compact"/>
        <w:numPr>
          <w:ilvl w:val="0"/>
          <w:numId w:val="1007"/>
        </w:numPr>
      </w:pPr>
      <w:r>
        <w:t xml:space="preserve">Interpreting and validating outputs</w:t>
      </w:r>
    </w:p>
    <w:p>
      <w:pPr>
        <w:pStyle w:val="Compact"/>
        <w:numPr>
          <w:ilvl w:val="0"/>
          <w:numId w:val="1007"/>
        </w:numPr>
      </w:pPr>
      <w:r>
        <w:t xml:space="preserve">Understanding how results were generated</w:t>
      </w:r>
    </w:p>
    <w:p>
      <w:pPr>
        <w:pStyle w:val="Compact"/>
        <w:numPr>
          <w:ilvl w:val="0"/>
          <w:numId w:val="1007"/>
        </w:numPr>
      </w:pPr>
      <w:r>
        <w:t xml:space="preserve">Being able to walk someone through the logic behind a result</w:t>
      </w:r>
    </w:p>
    <w:p>
      <w:pPr>
        <w:pStyle w:val="FirstParagraph"/>
      </w:pPr>
      <w:r>
        <w:t xml:space="preserve">You are already trained in:</w:t>
      </w:r>
    </w:p>
    <w:p>
      <w:pPr>
        <w:pStyle w:val="Compact"/>
        <w:numPr>
          <w:ilvl w:val="0"/>
          <w:numId w:val="1008"/>
        </w:numPr>
      </w:pPr>
      <w:r>
        <w:t xml:space="preserve">Traceability</w:t>
      </w:r>
    </w:p>
    <w:p>
      <w:pPr>
        <w:pStyle w:val="Compact"/>
        <w:numPr>
          <w:ilvl w:val="0"/>
          <w:numId w:val="1008"/>
        </w:numPr>
      </w:pPr>
      <w:r>
        <w:t xml:space="preserve">Controls</w:t>
      </w:r>
    </w:p>
    <w:p>
      <w:pPr>
        <w:pStyle w:val="Compact"/>
        <w:numPr>
          <w:ilvl w:val="0"/>
          <w:numId w:val="1008"/>
        </w:numPr>
      </w:pPr>
      <w:r>
        <w:t xml:space="preserve">Exception handling</w:t>
      </w:r>
    </w:p>
    <w:p>
      <w:pPr>
        <w:pStyle w:val="Compact"/>
        <w:numPr>
          <w:ilvl w:val="0"/>
          <w:numId w:val="1008"/>
        </w:numPr>
      </w:pPr>
      <w:r>
        <w:t xml:space="preserve">Audit defensibility</w:t>
      </w:r>
    </w:p>
    <w:p>
      <w:pPr>
        <w:pStyle w:val="FirstParagraph"/>
      </w:pPr>
      <w:r>
        <w:t xml:space="preserve">Those skills transfer directly.</w:t>
      </w:r>
    </w:p>
    <w:p>
      <w:r>
        <w:pict>
          <v:rect style="width:0;height:1.5pt" o:hralign="center" o:hrstd="t" o:hr="t"/>
        </w:pict>
      </w:r>
    </w:p>
    <w:bookmarkEnd w:id="25"/>
    <w:bookmarkStart w:id="26" w:name="what-you-can-start-doing-now"/>
    <w:p>
      <w:pPr>
        <w:pStyle w:val="Heading2"/>
      </w:pPr>
      <w:r>
        <w:t xml:space="preserve">What You Can Start Doing Now</w:t>
      </w:r>
    </w:p>
    <w:p>
      <w:pPr>
        <w:pStyle w:val="FirstParagraph"/>
      </w:pPr>
      <w:r>
        <w:t xml:space="preserve">You don’t need new systems to begin adapting.</w:t>
      </w:r>
    </w:p>
    <w:p>
      <w:pPr>
        <w:pStyle w:val="BodyText"/>
      </w:pPr>
      <w:r>
        <w:t xml:space="preserve">You can start by asking, in your current work:</w:t>
      </w:r>
    </w:p>
    <w:p>
      <w:pPr>
        <w:pStyle w:val="Compact"/>
        <w:numPr>
          <w:ilvl w:val="0"/>
          <w:numId w:val="1009"/>
        </w:numPr>
      </w:pPr>
      <w:r>
        <w:t xml:space="preserve">Where is AI being used in this process?</w:t>
      </w:r>
    </w:p>
    <w:p>
      <w:pPr>
        <w:pStyle w:val="Compact"/>
        <w:numPr>
          <w:ilvl w:val="0"/>
          <w:numId w:val="1009"/>
        </w:numPr>
      </w:pPr>
      <w:r>
        <w:t xml:space="preserve">Do I understand the inputs that led to this output?</w:t>
      </w:r>
    </w:p>
    <w:p>
      <w:pPr>
        <w:pStyle w:val="Compact"/>
        <w:numPr>
          <w:ilvl w:val="0"/>
          <w:numId w:val="1009"/>
        </w:numPr>
      </w:pPr>
      <w:r>
        <w:t xml:space="preserve">Could I explain this result to someone else clearly?</w:t>
      </w:r>
    </w:p>
    <w:p>
      <w:pPr>
        <w:pStyle w:val="Compact"/>
        <w:numPr>
          <w:ilvl w:val="0"/>
          <w:numId w:val="1009"/>
        </w:numPr>
      </w:pPr>
      <w:r>
        <w:t xml:space="preserve">If challenged, could we reproduce this outcome?</w:t>
      </w:r>
    </w:p>
    <w:p>
      <w:pPr>
        <w:pStyle w:val="Compact"/>
        <w:numPr>
          <w:ilvl w:val="0"/>
          <w:numId w:val="1009"/>
        </w:numPr>
      </w:pPr>
      <w:r>
        <w:t xml:space="preserve">Are there steps where authorization or boundaries (;consent 🝁) are unclear?</w:t>
      </w:r>
    </w:p>
    <w:p>
      <w:pPr>
        <w:pStyle w:val="FirstParagraph"/>
      </w:pPr>
      <w:r>
        <w:t xml:space="preserve">Even small improvements in these areas:</w:t>
      </w:r>
    </w:p>
    <w:p>
      <w:pPr>
        <w:pStyle w:val="Compact"/>
        <w:numPr>
          <w:ilvl w:val="0"/>
          <w:numId w:val="1010"/>
        </w:numPr>
      </w:pPr>
      <w:r>
        <w:t xml:space="preserve">Reduce back-and-forth</w:t>
      </w:r>
    </w:p>
    <w:p>
      <w:pPr>
        <w:pStyle w:val="Compact"/>
        <w:numPr>
          <w:ilvl w:val="0"/>
          <w:numId w:val="1010"/>
        </w:numPr>
      </w:pPr>
      <w:r>
        <w:t xml:space="preserve">Improve audit readiness</w:t>
      </w:r>
    </w:p>
    <w:p>
      <w:pPr>
        <w:pStyle w:val="Compact"/>
        <w:numPr>
          <w:ilvl w:val="0"/>
          <w:numId w:val="1010"/>
        </w:numPr>
      </w:pPr>
      <w:r>
        <w:t xml:space="preserve">Increase confidence in outputs</w:t>
      </w:r>
    </w:p>
    <w:p>
      <w:r>
        <w:pict>
          <v:rect style="width:0;height:1.5pt" o:hralign="center" o:hrstd="t" o:hr="t"/>
        </w:pict>
      </w:r>
    </w:p>
    <w:bookmarkEnd w:id="26"/>
    <w:bookmarkStart w:id="27" w:name="X7cfd043e54573b653292050535616b014be7a86"/>
    <w:p>
      <w:pPr>
        <w:pStyle w:val="Heading2"/>
      </w:pPr>
      <w:r>
        <w:t xml:space="preserve">What Probably Won’t Happen (and Why That’s Okay)</w:t>
      </w:r>
    </w:p>
    <w:p>
      <w:pPr>
        <w:pStyle w:val="FirstParagraph"/>
      </w:pPr>
      <w:r>
        <w:t xml:space="preserve">Not every organization will adopt formal</w:t>
      </w:r>
      <w:r>
        <w:t xml:space="preserve"> </w:t>
      </w:r>
      <w:r>
        <w:t xml:space="preserve">“semantic systems.”</w:t>
      </w:r>
    </w:p>
    <w:p>
      <w:pPr>
        <w:pStyle w:val="BodyText"/>
      </w:pPr>
      <w:r>
        <w:t xml:space="preserve">Most will:</w:t>
      </w:r>
    </w:p>
    <w:p>
      <w:pPr>
        <w:pStyle w:val="Compact"/>
        <w:numPr>
          <w:ilvl w:val="0"/>
          <w:numId w:val="1011"/>
        </w:numPr>
      </w:pPr>
      <w:r>
        <w:t xml:space="preserve">Continue using existing tools</w:t>
      </w:r>
    </w:p>
    <w:p>
      <w:pPr>
        <w:pStyle w:val="Compact"/>
        <w:numPr>
          <w:ilvl w:val="0"/>
          <w:numId w:val="1011"/>
        </w:numPr>
      </w:pPr>
      <w:r>
        <w:t xml:space="preserve">Rely on human explanation</w:t>
      </w:r>
    </w:p>
    <w:p>
      <w:pPr>
        <w:pStyle w:val="Compact"/>
        <w:numPr>
          <w:ilvl w:val="0"/>
          <w:numId w:val="1011"/>
        </w:numPr>
      </w:pPr>
      <w:r>
        <w:t xml:space="preserve">Add structure only when needed</w:t>
      </w:r>
    </w:p>
    <w:p>
      <w:pPr>
        <w:pStyle w:val="FirstParagraph"/>
      </w:pPr>
      <w:r>
        <w:t xml:space="preserve">That’s normal.</w:t>
      </w:r>
    </w:p>
    <w:p>
      <w:pPr>
        <w:pStyle w:val="BodyText"/>
      </w:pPr>
      <w:r>
        <w:t xml:space="preserve">But in higher-pressure environments:</w:t>
      </w:r>
    </w:p>
    <w:p>
      <w:pPr>
        <w:pStyle w:val="BlockText"/>
      </w:pPr>
      <w:r>
        <w:t xml:space="preserve">The expectation to explain and defend outputs will increase.</w:t>
      </w:r>
    </w:p>
    <w:p>
      <w:pPr>
        <w:pStyle w:val="FirstParagraph"/>
      </w:pPr>
      <w:r>
        <w:t xml:space="preserve">And that expectation will land on people who already sit at the intersection of:</w:t>
      </w:r>
    </w:p>
    <w:p>
      <w:pPr>
        <w:pStyle w:val="Compact"/>
        <w:numPr>
          <w:ilvl w:val="0"/>
          <w:numId w:val="1012"/>
        </w:numPr>
      </w:pPr>
      <w:r>
        <w:t xml:space="preserve">data</w:t>
      </w:r>
    </w:p>
    <w:p>
      <w:pPr>
        <w:pStyle w:val="Compact"/>
        <w:numPr>
          <w:ilvl w:val="0"/>
          <w:numId w:val="1012"/>
        </w:numPr>
      </w:pPr>
      <w:r>
        <w:t xml:space="preserve">process</w:t>
      </w:r>
    </w:p>
    <w:p>
      <w:pPr>
        <w:pStyle w:val="Compact"/>
        <w:numPr>
          <w:ilvl w:val="0"/>
          <w:numId w:val="1012"/>
        </w:numPr>
      </w:pPr>
      <w:r>
        <w:t xml:space="preserve">accountability</w:t>
      </w:r>
    </w:p>
    <w:p>
      <w:pPr>
        <w:pStyle w:val="FirstParagraph"/>
      </w:pPr>
      <w:r>
        <w:t xml:space="preserve">Which is where you are.</w:t>
      </w:r>
    </w:p>
    <w:p>
      <w:r>
        <w:pict>
          <v:rect style="width:0;height:1.5pt" o:hralign="center" o:hrstd="t" o:hr="t"/>
        </w:pict>
      </w:r>
    </w:p>
    <w:bookmarkEnd w:id="27"/>
    <w:bookmarkStart w:id="28" w:name="the-practical-takeaway"/>
    <w:p>
      <w:pPr>
        <w:pStyle w:val="Heading2"/>
      </w:pPr>
      <w:r>
        <w:t xml:space="preserve">The Practical Takeaway</w:t>
      </w:r>
    </w:p>
    <w:p>
      <w:pPr>
        <w:pStyle w:val="FirstParagraph"/>
      </w:pPr>
      <w:r>
        <w:t xml:space="preserve">You don’t need to bet on a new paradigm.</w:t>
      </w:r>
    </w:p>
    <w:p>
      <w:pPr>
        <w:pStyle w:val="BodyText"/>
      </w:pPr>
      <w:r>
        <w:t xml:space="preserve">But you can recognize this:</w:t>
      </w:r>
    </w:p>
    <w:p>
      <w:pPr>
        <w:pStyle w:val="BlockText"/>
      </w:pPr>
      <w:r>
        <w:t xml:space="preserve">The work is shifting from tracking what happened → to explaining how and why it happened.</w:t>
      </w:r>
    </w:p>
    <w:p>
      <w:pPr>
        <w:pStyle w:val="FirstParagraph"/>
      </w:pPr>
      <w:r>
        <w:t xml:space="preserve">Professionals who are comfortable operating in that space will be:</w:t>
      </w:r>
    </w:p>
    <w:p>
      <w:pPr>
        <w:pStyle w:val="Compact"/>
        <w:numPr>
          <w:ilvl w:val="0"/>
          <w:numId w:val="1013"/>
        </w:numPr>
      </w:pPr>
      <w:r>
        <w:t xml:space="preserve">more effective</w:t>
      </w:r>
    </w:p>
    <w:p>
      <w:pPr>
        <w:pStyle w:val="Compact"/>
        <w:numPr>
          <w:ilvl w:val="0"/>
          <w:numId w:val="1013"/>
        </w:numPr>
      </w:pPr>
      <w:r>
        <w:t xml:space="preserve">more trusted</w:t>
      </w:r>
    </w:p>
    <w:p>
      <w:pPr>
        <w:pStyle w:val="Compact"/>
        <w:numPr>
          <w:ilvl w:val="0"/>
          <w:numId w:val="1013"/>
        </w:numPr>
      </w:pPr>
      <w:r>
        <w:t xml:space="preserve">more resilient as workflows evolve</w:t>
      </w:r>
    </w:p>
    <w:p>
      <w:r>
        <w:pict>
          <v:rect style="width:0;height:1.5pt" o:hralign="center" o:hrstd="t" o:hr="t"/>
        </w:pict>
      </w:r>
    </w:p>
    <w:bookmarkEnd w:id="28"/>
    <w:bookmarkStart w:id="29" w:name="final-thought"/>
    <w:p>
      <w:pPr>
        <w:pStyle w:val="Heading2"/>
      </w:pPr>
      <w:r>
        <w:t xml:space="preserve">Final Thought</w:t>
      </w:r>
    </w:p>
    <w:p>
      <w:pPr>
        <w:pStyle w:val="FirstParagraph"/>
      </w:pPr>
      <w:r>
        <w:t xml:space="preserve">Accounting didn’t replace business—it made it understandable.</w:t>
      </w:r>
    </w:p>
    <w:p>
      <w:pPr>
        <w:pStyle w:val="BodyText"/>
      </w:pPr>
      <w:r>
        <w:t xml:space="preserve">As systems become more complex, the need for that kind of clarity expands.</w:t>
      </w:r>
    </w:p>
    <w:p>
      <w:pPr>
        <w:pStyle w:val="BodyText"/>
      </w:pPr>
      <w:r>
        <w:t xml:space="preserve">Not everywhere at once.</w:t>
      </w:r>
    </w:p>
    <w:p>
      <w:pPr>
        <w:pStyle w:val="BodyText"/>
      </w:pPr>
      <w:r>
        <w:t xml:space="preserve">But in the places where it matters most.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Clarity is becoming part of the job—not just the outcome.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2026-04-26T20:35:25Z</dcterms:created>
  <dcterms:modified xsi:type="dcterms:W3CDTF">2026-04-26T20:35:25Z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