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mantic-os-ai-human-collaboration"/>
    <w:p>
      <w:pPr>
        <w:pStyle w:val="Heading1"/>
      </w:pPr>
      <w:r>
        <w:t xml:space="preserve">Semantic OS: AI-Human Collaboration</w:t>
      </w:r>
    </w:p>
    <w:bookmarkStart w:id="20" w:name="the-big-idea"/>
    <w:p>
      <w:pPr>
        <w:pStyle w:val="Heading2"/>
      </w:pPr>
      <w:r>
        <w:t xml:space="preserve">The Big Idea</w:t>
      </w:r>
    </w:p>
    <w:p>
      <w:pPr>
        <w:pStyle w:val="FirstParagraph"/>
      </w:pPr>
      <w:r>
        <w:t xml:space="preserve">We believe the next generation of AI systems should behave less like uncontrolled search engines and more like operating systems.</w:t>
      </w:r>
    </w:p>
    <w:p>
      <w:pPr>
        <w:pStyle w:val="BodyText"/>
      </w:pPr>
      <w:r>
        <w:t xml:space="preserve">Today, most AI products work by giving a model broad access to large pools of information and asking it to retrieve, reason, and respond.</w:t>
      </w:r>
    </w:p>
    <w:p>
      <w:pPr>
        <w:pStyle w:val="BodyText"/>
      </w:pPr>
      <w:r>
        <w:t xml:space="preserve">That approach is powerful, but it creates problems:</w:t>
      </w:r>
    </w:p>
    <w:p>
      <w:pPr>
        <w:pStyle w:val="Compact"/>
        <w:numPr>
          <w:ilvl w:val="0"/>
          <w:numId w:val="1001"/>
        </w:numPr>
      </w:pPr>
      <w:r>
        <w:t xml:space="preserve">information leakage</w:t>
      </w:r>
    </w:p>
    <w:p>
      <w:pPr>
        <w:pStyle w:val="Compact"/>
        <w:numPr>
          <w:ilvl w:val="0"/>
          <w:numId w:val="1001"/>
        </w:numPr>
      </w:pPr>
      <w:r>
        <w:t xml:space="preserve">weak permission boundaries</w:t>
      </w:r>
    </w:p>
    <w:p>
      <w:pPr>
        <w:pStyle w:val="Compact"/>
        <w:numPr>
          <w:ilvl w:val="0"/>
          <w:numId w:val="1001"/>
        </w:numPr>
      </w:pPr>
      <w:r>
        <w:t xml:space="preserve">hallucinated context</w:t>
      </w:r>
    </w:p>
    <w:p>
      <w:pPr>
        <w:pStyle w:val="Compact"/>
        <w:numPr>
          <w:ilvl w:val="0"/>
          <w:numId w:val="1001"/>
        </w:numPr>
      </w:pPr>
      <w:r>
        <w:t xml:space="preserve">difficult auditing</w:t>
      </w:r>
    </w:p>
    <w:p>
      <w:pPr>
        <w:pStyle w:val="Compact"/>
        <w:numPr>
          <w:ilvl w:val="0"/>
          <w:numId w:val="1001"/>
        </w:numPr>
      </w:pPr>
      <w:r>
        <w:t xml:space="preserve">irreversible automation</w:t>
      </w:r>
    </w:p>
    <w:p>
      <w:pPr>
        <w:pStyle w:val="Compact"/>
        <w:numPr>
          <w:ilvl w:val="0"/>
          <w:numId w:val="1001"/>
        </w:numPr>
      </w:pPr>
      <w:r>
        <w:t xml:space="preserve">poor human trust</w:t>
      </w:r>
    </w:p>
    <w:p>
      <w:pPr>
        <w:pStyle w:val="Compact"/>
        <w:numPr>
          <w:ilvl w:val="0"/>
          <w:numId w:val="1001"/>
        </w:numPr>
      </w:pPr>
      <w:r>
        <w:t xml:space="preserve">fragile governance</w:t>
      </w:r>
    </w:p>
    <w:p>
      <w:pPr>
        <w:pStyle w:val="FirstParagraph"/>
      </w:pPr>
      <w:r>
        <w:t xml:space="preserve">Our approach is different.</w:t>
      </w:r>
    </w:p>
    <w:p>
      <w:pPr>
        <w:pStyle w:val="BlockText"/>
      </w:pPr>
      <w:r>
        <w:t xml:space="preserve">Instead of letting AI forage through the warehouse, we prepare a safe, contextual workspace for each task.</w:t>
      </w:r>
    </w:p>
    <w:p>
      <w:pPr>
        <w:pStyle w:val="FirstParagraph"/>
      </w:pPr>
      <w:r>
        <w:t xml:space="preserve">We call this concept a</w:t>
      </w:r>
      <w:r>
        <w:t xml:space="preserve"> </w:t>
      </w:r>
      <w:r>
        <w:rPr>
          <w:b/>
          <w:bCs/>
        </w:rPr>
        <w:t xml:space="preserve">Semantic Operating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core-principle"/>
    <w:p>
      <w:pPr>
        <w:pStyle w:val="Heading1"/>
      </w:pPr>
      <w:r>
        <w:t xml:space="preserve">The Core Principle</w:t>
      </w:r>
    </w:p>
    <w:p>
      <w:pPr>
        <w:pStyle w:val="FirstParagraph"/>
      </w:pPr>
      <w:r>
        <w:t xml:space="preserve">Every human or AI task operates inside a scoped virtual environment.</w:t>
      </w:r>
    </w:p>
    <w:p>
      <w:pPr>
        <w:pStyle w:val="BodyText"/>
      </w:pPr>
      <w:r>
        <w:t xml:space="preserve">The system determines:</w:t>
      </w:r>
    </w:p>
    <w:p>
      <w:pPr>
        <w:pStyle w:val="Compact"/>
        <w:numPr>
          <w:ilvl w:val="0"/>
          <w:numId w:val="1002"/>
        </w:numPr>
      </w:pPr>
      <w:r>
        <w:t xml:space="preserve">what data exists in that environment</w:t>
      </w:r>
    </w:p>
    <w:p>
      <w:pPr>
        <w:pStyle w:val="Compact"/>
        <w:numPr>
          <w:ilvl w:val="0"/>
          <w:numId w:val="1002"/>
        </w:numPr>
      </w:pPr>
      <w:r>
        <w:t xml:space="preserve">what names mean in that context</w:t>
      </w:r>
    </w:p>
    <w:p>
      <w:pPr>
        <w:pStyle w:val="Compact"/>
        <w:numPr>
          <w:ilvl w:val="0"/>
          <w:numId w:val="1002"/>
        </w:numPr>
      </w:pPr>
      <w:r>
        <w:t xml:space="preserve">what actions are allowed</w:t>
      </w:r>
    </w:p>
    <w:p>
      <w:pPr>
        <w:pStyle w:val="Compact"/>
        <w:numPr>
          <w:ilvl w:val="0"/>
          <w:numId w:val="1002"/>
        </w:numPr>
      </w:pPr>
      <w:r>
        <w:t xml:space="preserve">what information is visible</w:t>
      </w:r>
    </w:p>
    <w:p>
      <w:pPr>
        <w:pStyle w:val="Compact"/>
        <w:numPr>
          <w:ilvl w:val="0"/>
          <w:numId w:val="1002"/>
        </w:numPr>
      </w:pPr>
      <w:r>
        <w:t xml:space="preserve">what changes are reversible</w:t>
      </w:r>
    </w:p>
    <w:p>
      <w:pPr>
        <w:pStyle w:val="FirstParagraph"/>
      </w:pPr>
      <w:r>
        <w:t xml:space="preserve">The AI does not access the entire organization.</w:t>
      </w:r>
    </w:p>
    <w:p>
      <w:pPr>
        <w:pStyle w:val="BodyText"/>
      </w:pPr>
      <w:r>
        <w:t xml:space="preserve">It only sees the carefully prepared world for the task at hand.</w:t>
      </w:r>
    </w:p>
    <w:p>
      <w:r>
        <w:pict>
          <v:rect style="width:0;height:1.5pt" o:hralign="center" o:hrstd="t" o:hr="t"/>
        </w:pict>
      </w:r>
    </w:p>
    <w:bookmarkEnd w:id="22"/>
    <w:bookmarkStart w:id="23" w:name="a-simple-example"/>
    <w:p>
      <w:pPr>
        <w:pStyle w:val="Heading1"/>
      </w:pPr>
      <w:r>
        <w:t xml:space="preserve">A Simple Example</w:t>
      </w:r>
    </w:p>
    <w:p>
      <w:pPr>
        <w:pStyle w:val="FirstParagraph"/>
      </w:pPr>
      <w:r>
        <w:t xml:space="preserve">An analyst asks:</w:t>
      </w:r>
    </w:p>
    <w:p>
      <w:pPr>
        <w:pStyle w:val="BlockText"/>
      </w:pPr>
      <w:r>
        <w:t xml:space="preserve">“Compare September Financials.xls against August Financials.xls.”</w:t>
      </w:r>
    </w:p>
    <w:p>
      <w:pPr>
        <w:pStyle w:val="FirstParagraph"/>
      </w:pPr>
      <w:r>
        <w:t xml:space="preserve">The system automatically determines:</w:t>
      </w:r>
    </w:p>
    <w:p>
      <w:pPr>
        <w:pStyle w:val="Compact"/>
        <w:numPr>
          <w:ilvl w:val="0"/>
          <w:numId w:val="1003"/>
        </w:numPr>
      </w:pPr>
      <w:r>
        <w:t xml:space="preserve">which client</w:t>
      </w:r>
    </w:p>
    <w:p>
      <w:pPr>
        <w:pStyle w:val="Compact"/>
        <w:numPr>
          <w:ilvl w:val="0"/>
          <w:numId w:val="1003"/>
        </w:numPr>
      </w:pPr>
      <w:r>
        <w:t xml:space="preserve">which fiscal calendar</w:t>
      </w:r>
    </w:p>
    <w:p>
      <w:pPr>
        <w:pStyle w:val="Compact"/>
        <w:numPr>
          <w:ilvl w:val="0"/>
          <w:numId w:val="1003"/>
        </w:numPr>
      </w:pPr>
      <w:r>
        <w:t xml:space="preserve">which approved versions</w:t>
      </w:r>
    </w:p>
    <w:p>
      <w:pPr>
        <w:pStyle w:val="Compact"/>
        <w:numPr>
          <w:ilvl w:val="0"/>
          <w:numId w:val="1003"/>
        </w:numPr>
      </w:pPr>
      <w:r>
        <w:t xml:space="preserve">which permissions apply</w:t>
      </w:r>
    </w:p>
    <w:p>
      <w:pPr>
        <w:pStyle w:val="Compact"/>
        <w:numPr>
          <w:ilvl w:val="0"/>
          <w:numId w:val="1003"/>
        </w:numPr>
      </w:pPr>
      <w:r>
        <w:t xml:space="preserve">which workflow is active</w:t>
      </w:r>
    </w:p>
    <w:p>
      <w:pPr>
        <w:pStyle w:val="Compact"/>
        <w:numPr>
          <w:ilvl w:val="0"/>
          <w:numId w:val="1003"/>
        </w:numPr>
      </w:pPr>
      <w:r>
        <w:t xml:space="preserve">which related supporting documents belong in context</w:t>
      </w:r>
    </w:p>
    <w:p>
      <w:pPr>
        <w:pStyle w:val="FirstParagraph"/>
      </w:pPr>
      <w:r>
        <w:t xml:space="preserve">The AI receives only those staged materials.</w:t>
      </w:r>
    </w:p>
    <w:p>
      <w:pPr>
        <w:pStyle w:val="BodyText"/>
      </w:pPr>
      <w:r>
        <w:t xml:space="preserve">If the analyst later asks:</w:t>
      </w:r>
    </w:p>
    <w:p>
      <w:pPr>
        <w:pStyle w:val="BlockText"/>
      </w:pPr>
      <w:r>
        <w:t xml:space="preserve">“Show me the CEO compensation file.”</w:t>
      </w:r>
    </w:p>
    <w:p>
      <w:pPr>
        <w:pStyle w:val="FirstParagraph"/>
      </w:pPr>
      <w:r>
        <w:t xml:space="preserve">the system checks permissions and consent policies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is staged.</w:t>
      </w:r>
    </w:p>
    <w:p>
      <w:pPr>
        <w:pStyle w:val="BodyText"/>
      </w:pPr>
      <w:r>
        <w:t xml:space="preserve">If access is not permitted, the AI never receives the data.</w:t>
      </w:r>
    </w:p>
    <w:p>
      <w:pPr>
        <w:pStyle w:val="BodyText"/>
      </w:pPr>
      <w:r>
        <w:t xml:space="preserve">This is fundamentally different from asking the AI to</w:t>
      </w:r>
      <w:r>
        <w:t xml:space="preserve"> </w:t>
      </w:r>
      <w:r>
        <w:t xml:space="preserve">“behave responsibly”</w:t>
      </w:r>
      <w:r>
        <w:t xml:space="preserve"> </w:t>
      </w:r>
      <w:r>
        <w:t xml:space="preserve">after it already has access.</w:t>
      </w:r>
    </w:p>
    <w:p>
      <w:r>
        <w:pict>
          <v:rect style="width:0;height:1.5pt" o:hralign="center" o:hrstd="t" o:hr="t"/>
        </w:pict>
      </w:r>
    </w:p>
    <w:bookmarkEnd w:id="23"/>
    <w:bookmarkStart w:id="27" w:name="the-semantic-airlock"/>
    <w:p>
      <w:pPr>
        <w:pStyle w:val="Heading1"/>
      </w:pPr>
      <w:r>
        <w:t xml:space="preserve">The Semantic Airlock</w:t>
      </w:r>
    </w:p>
    <w:p>
      <w:pPr>
        <w:pStyle w:val="FirstParagraph"/>
      </w:pPr>
      <w:r>
        <w:t xml:space="preserve">We think of the system as a semantic airlock.</w:t>
      </w:r>
    </w:p>
    <w:bookmarkStart w:id="24" w:name="step-1-the-gatekeeper"/>
    <w:p>
      <w:pPr>
        <w:pStyle w:val="Heading2"/>
      </w:pPr>
      <w:r>
        <w:t xml:space="preserve">Step 1 — The Gatekeeper</w:t>
      </w:r>
    </w:p>
    <w:p>
      <w:pPr>
        <w:pStyle w:val="FirstParagraph"/>
      </w:pPr>
      <w:r>
        <w:t xml:space="preserve">A policy and context layer interprets the request.</w:t>
      </w:r>
    </w:p>
    <w:p>
      <w:pPr>
        <w:pStyle w:val="BodyText"/>
      </w:pPr>
      <w:r>
        <w:t xml:space="preserve">It determines:</w:t>
      </w:r>
    </w:p>
    <w:p>
      <w:pPr>
        <w:pStyle w:val="Compact"/>
        <w:numPr>
          <w:ilvl w:val="0"/>
          <w:numId w:val="1004"/>
        </w:numPr>
      </w:pPr>
      <w:r>
        <w:t xml:space="preserve">who is asking</w:t>
      </w:r>
    </w:p>
    <w:p>
      <w:pPr>
        <w:pStyle w:val="Compact"/>
        <w:numPr>
          <w:ilvl w:val="0"/>
          <w:numId w:val="1004"/>
        </w:numPr>
      </w:pPr>
      <w:r>
        <w:t xml:space="preserve">what they are trying to do</w:t>
      </w:r>
    </w:p>
    <w:p>
      <w:pPr>
        <w:pStyle w:val="Compact"/>
        <w:numPr>
          <w:ilvl w:val="0"/>
          <w:numId w:val="1004"/>
        </w:numPr>
      </w:pPr>
      <w:r>
        <w:t xml:space="preserve">what data is relevant</w:t>
      </w:r>
    </w:p>
    <w:p>
      <w:pPr>
        <w:pStyle w:val="Compact"/>
        <w:numPr>
          <w:ilvl w:val="0"/>
          <w:numId w:val="1004"/>
        </w:numPr>
      </w:pPr>
      <w:r>
        <w:t xml:space="preserve">what policies apply</w:t>
      </w:r>
    </w:p>
    <w:p>
      <w:pPr>
        <w:pStyle w:val="Compact"/>
        <w:numPr>
          <w:ilvl w:val="0"/>
          <w:numId w:val="1004"/>
        </w:numPr>
      </w:pPr>
      <w:r>
        <w:t xml:space="preserve">what consent boundaries exist</w:t>
      </w:r>
    </w:p>
    <w:p>
      <w:pPr>
        <w:pStyle w:val="FirstParagraph"/>
      </w:pPr>
      <w:r>
        <w:t xml:space="preserve">The output is not raw data.</w:t>
      </w:r>
    </w:p>
    <w:p>
      <w:pPr>
        <w:pStyle w:val="BodyText"/>
      </w:pPr>
      <w:r>
        <w:t xml:space="preserve">The output is a list of approved artifacts and permissions.</w:t>
      </w:r>
    </w:p>
    <w:p>
      <w:r>
        <w:pict>
          <v:rect style="width:0;height:1.5pt" o:hralign="center" o:hrstd="t" o:hr="t"/>
        </w:pict>
      </w:r>
    </w:p>
    <w:bookmarkEnd w:id="24"/>
    <w:bookmarkStart w:id="25" w:name="step-2-the-stager"/>
    <w:p>
      <w:pPr>
        <w:pStyle w:val="Heading2"/>
      </w:pPr>
      <w:r>
        <w:t xml:space="preserve">Step 2 — The Stager</w:t>
      </w:r>
    </w:p>
    <w:p>
      <w:pPr>
        <w:pStyle w:val="FirstParagraph"/>
      </w:pPr>
      <w:r>
        <w:t xml:space="preserve">A staging layer gathers only the approved materials into a temporary workspace.</w:t>
      </w:r>
    </w:p>
    <w:p>
      <w:pPr>
        <w:pStyle w:val="BodyText"/>
      </w:pPr>
      <w:r>
        <w:t xml:space="preserve">This becomes the AI’s prepared environment.</w:t>
      </w:r>
    </w:p>
    <w:p>
      <w:pPr>
        <w:pStyle w:val="BodyText"/>
      </w:pPr>
      <w:r>
        <w:t xml:space="preserve">The rest of the organization’s data effectively does not exist inside that workspace.</w:t>
      </w:r>
    </w:p>
    <w:p>
      <w:r>
        <w:pict>
          <v:rect style="width:0;height:1.5pt" o:hralign="center" o:hrstd="t" o:hr="t"/>
        </w:pict>
      </w:r>
    </w:p>
    <w:bookmarkEnd w:id="25"/>
    <w:bookmarkStart w:id="26" w:name="step-3-the-agent"/>
    <w:p>
      <w:pPr>
        <w:pStyle w:val="Heading2"/>
      </w:pPr>
      <w:r>
        <w:t xml:space="preserve">Step 3 — The Agent</w:t>
      </w:r>
    </w:p>
    <w:p>
      <w:pPr>
        <w:pStyle w:val="FirstParagraph"/>
      </w:pPr>
      <w:r>
        <w:t xml:space="preserve">The AI wakes up inside that prepared environment and performs the task.</w:t>
      </w:r>
    </w:p>
    <w:p>
      <w:pPr>
        <w:pStyle w:val="BodyText"/>
      </w:pPr>
      <w:r>
        <w:t xml:space="preserve">It can reason deeply about the staged materials, but it cannot leak or retrieve what was never provided.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This architecture creates several important advantages.</w:t>
      </w:r>
    </w:p>
    <w:bookmarkStart w:id="28" w:name="security-by-environment-design"/>
    <w:p>
      <w:pPr>
        <w:pStyle w:val="Heading2"/>
      </w:pPr>
      <w:r>
        <w:t xml:space="preserve">1. Security by Environment Design</w:t>
      </w:r>
    </w:p>
    <w:p>
      <w:pPr>
        <w:pStyle w:val="FirstParagraph"/>
      </w:pPr>
      <w:r>
        <w:t xml:space="preserve">If data is not staged, it cannot leak.</w:t>
      </w:r>
    </w:p>
    <w:p>
      <w:pPr>
        <w:pStyle w:val="BodyText"/>
      </w:pPr>
      <w:r>
        <w:t xml:space="preserve">Security is enforced before reasoning occurs.</w:t>
      </w:r>
    </w:p>
    <w:p>
      <w:r>
        <w:pict>
          <v:rect style="width:0;height:1.5pt" o:hralign="center" o:hrstd="t" o:hr="t"/>
        </w:pict>
      </w:r>
    </w:p>
    <w:bookmarkEnd w:id="28"/>
    <w:bookmarkStart w:id="29" w:name="human-legible-governance"/>
    <w:p>
      <w:pPr>
        <w:pStyle w:val="Heading2"/>
      </w:pPr>
      <w:r>
        <w:t xml:space="preserve">2. Human-Legible Governance</w:t>
      </w:r>
    </w:p>
    <w:p>
      <w:pPr>
        <w:pStyle w:val="FirstParagraph"/>
      </w:pPr>
      <w:r>
        <w:t xml:space="preserve">Policies can be expressed in understandable language:</w:t>
      </w:r>
    </w:p>
    <w:p>
      <w:pPr>
        <w:pStyle w:val="Compact"/>
        <w:numPr>
          <w:ilvl w:val="0"/>
          <w:numId w:val="1005"/>
        </w:numPr>
      </w:pPr>
      <w:r>
        <w:t xml:space="preserve">“Junior analysts cannot access confidential compensation files.”</w:t>
      </w:r>
    </w:p>
    <w:p>
      <w:pPr>
        <w:pStyle w:val="Compact"/>
        <w:numPr>
          <w:ilvl w:val="0"/>
          <w:numId w:val="1005"/>
        </w:numPr>
      </w:pPr>
      <w:r>
        <w:t xml:space="preserve">“Client data cannot be used for external model training.”</w:t>
      </w:r>
    </w:p>
    <w:p>
      <w:pPr>
        <w:pStyle w:val="Compact"/>
        <w:numPr>
          <w:ilvl w:val="0"/>
          <w:numId w:val="1005"/>
        </w:numPr>
      </w:pPr>
      <w:r>
        <w:t xml:space="preserve">“Only approved quarterly reports may be used in board summaries.”</w:t>
      </w:r>
    </w:p>
    <w:p>
      <w:pPr>
        <w:pStyle w:val="FirstParagraph"/>
      </w:pPr>
      <w:r>
        <w:t xml:space="preserve">Those policies can compile into structured enforcement rules underneath.</w:t>
      </w:r>
    </w:p>
    <w:p>
      <w:r>
        <w:pict>
          <v:rect style="width:0;height:1.5pt" o:hralign="center" o:hrstd="t" o:hr="t"/>
        </w:pict>
      </w:r>
    </w:p>
    <w:bookmarkEnd w:id="29"/>
    <w:bookmarkStart w:id="30" w:name="consent-as-a-first-class-primitive"/>
    <w:p>
      <w:pPr>
        <w:pStyle w:val="Heading2"/>
      </w:pPr>
      <w:r>
        <w:t xml:space="preserve">3. Consent as a First-Class Primitive</w:t>
      </w:r>
    </w:p>
    <w:p>
      <w:pPr>
        <w:pStyle w:val="FirstParagraph"/>
      </w:pPr>
      <w:r>
        <w:t xml:space="preserve">We believe access and consent are different.</w:t>
      </w:r>
    </w:p>
    <w:p>
      <w:pPr>
        <w:pStyle w:val="BodyText"/>
      </w:pPr>
      <w:r>
        <w:t xml:space="preserve">A user may be allowed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data without being allowed to:</w:t>
      </w:r>
    </w:p>
    <w:p>
      <w:pPr>
        <w:pStyle w:val="Compact"/>
        <w:numPr>
          <w:ilvl w:val="0"/>
          <w:numId w:val="1006"/>
        </w:numPr>
      </w:pPr>
      <w:r>
        <w:t xml:space="preserve">export it</w:t>
      </w:r>
    </w:p>
    <w:p>
      <w:pPr>
        <w:pStyle w:val="Compact"/>
        <w:numPr>
          <w:ilvl w:val="0"/>
          <w:numId w:val="1006"/>
        </w:numPr>
      </w:pPr>
      <w:r>
        <w:t xml:space="preserve">train models on it</w:t>
      </w:r>
    </w:p>
    <w:p>
      <w:pPr>
        <w:pStyle w:val="Compact"/>
        <w:numPr>
          <w:ilvl w:val="0"/>
          <w:numId w:val="1006"/>
        </w:numPr>
      </w:pPr>
      <w:r>
        <w:t xml:space="preserve">combine it with other datasets</w:t>
      </w:r>
    </w:p>
    <w:p>
      <w:pPr>
        <w:pStyle w:val="Compact"/>
        <w:numPr>
          <w:ilvl w:val="0"/>
          <w:numId w:val="1006"/>
        </w:numPr>
      </w:pPr>
      <w:r>
        <w:t xml:space="preserve">publish derived results</w:t>
      </w:r>
    </w:p>
    <w:p>
      <w:pPr>
        <w:pStyle w:val="FirstParagraph"/>
      </w:pPr>
      <w:r>
        <w:t xml:space="preserve">The system tracks not only:</w:t>
      </w:r>
    </w:p>
    <w:p>
      <w:pPr>
        <w:pStyle w:val="BlockText"/>
      </w:pPr>
      <w:r>
        <w:t xml:space="preserve">“Who can access this?”</w:t>
      </w:r>
    </w:p>
    <w:p>
      <w:pPr>
        <w:pStyle w:val="FirstParagraph"/>
      </w:pPr>
      <w:r>
        <w:t xml:space="preserve">but also:</w:t>
      </w:r>
    </w:p>
    <w:p>
      <w:pPr>
        <w:pStyle w:val="BlockText"/>
      </w:pPr>
      <w:r>
        <w:t xml:space="preserve">“What may be done with it?”</w:t>
      </w:r>
    </w:p>
    <w:p>
      <w:r>
        <w:pict>
          <v:rect style="width:0;height:1.5pt" o:hralign="center" o:hrstd="t" o:hr="t"/>
        </w:pict>
      </w:r>
    </w:p>
    <w:bookmarkEnd w:id="30"/>
    <w:bookmarkStart w:id="31" w:name="reversibility-and-auditability"/>
    <w:p>
      <w:pPr>
        <w:pStyle w:val="Heading2"/>
      </w:pPr>
      <w:r>
        <w:t xml:space="preserve">4. Reversibility and Auditability</w:t>
      </w:r>
    </w:p>
    <w:p>
      <w:pPr>
        <w:pStyle w:val="FirstParagraph"/>
      </w:pPr>
      <w:r>
        <w:t xml:space="preserve">AI actions should behave more like database transactions than irreversible commands.</w:t>
      </w:r>
    </w:p>
    <w:p>
      <w:pPr>
        <w:pStyle w:val="BodyText"/>
      </w:pPr>
      <w:r>
        <w:t xml:space="preserve">The system keeps:</w:t>
      </w:r>
    </w:p>
    <w:p>
      <w:pPr>
        <w:pStyle w:val="Compact"/>
        <w:numPr>
          <w:ilvl w:val="0"/>
          <w:numId w:val="1007"/>
        </w:numPr>
      </w:pPr>
      <w:r>
        <w:t xml:space="preserve">provenance trails</w:t>
      </w:r>
    </w:p>
    <w:p>
      <w:pPr>
        <w:pStyle w:val="Compact"/>
        <w:numPr>
          <w:ilvl w:val="0"/>
          <w:numId w:val="1007"/>
        </w:numPr>
      </w:pPr>
      <w:r>
        <w:t xml:space="preserve">staged workspace records</w:t>
      </w:r>
    </w:p>
    <w:p>
      <w:pPr>
        <w:pStyle w:val="Compact"/>
        <w:numPr>
          <w:ilvl w:val="0"/>
          <w:numId w:val="1007"/>
        </w:numPr>
      </w:pPr>
      <w:r>
        <w:t xml:space="preserve">decision explanations</w:t>
      </w:r>
    </w:p>
    <w:p>
      <w:pPr>
        <w:pStyle w:val="Compact"/>
        <w:numPr>
          <w:ilvl w:val="0"/>
          <w:numId w:val="1007"/>
        </w:numPr>
      </w:pPr>
      <w:r>
        <w:t xml:space="preserve">reversible change histories</w:t>
      </w:r>
    </w:p>
    <w:p>
      <w:pPr>
        <w:pStyle w:val="Compact"/>
        <w:numPr>
          <w:ilvl w:val="0"/>
          <w:numId w:val="1007"/>
        </w:numPr>
      </w:pPr>
      <w:r>
        <w:t xml:space="preserve">approval workflows</w:t>
      </w:r>
    </w:p>
    <w:p>
      <w:pPr>
        <w:pStyle w:val="FirstParagraph"/>
      </w:pPr>
      <w:r>
        <w:t xml:space="preserve">That creates organizational trust.</w:t>
      </w:r>
    </w:p>
    <w:p>
      <w:r>
        <w:pict>
          <v:rect style="width:0;height:1.5pt" o:hralign="center" o:hrstd="t" o:hr="t"/>
        </w:pict>
      </w:r>
    </w:p>
    <w:bookmarkEnd w:id="31"/>
    <w:bookmarkStart w:id="32" w:name="reusable-intelligence"/>
    <w:p>
      <w:pPr>
        <w:pStyle w:val="Heading2"/>
      </w:pPr>
      <w:r>
        <w:t xml:space="preserve">5. Reusable Intelligence</w:t>
      </w:r>
    </w:p>
    <w:p>
      <w:pPr>
        <w:pStyle w:val="FirstParagraph"/>
      </w:pPr>
      <w:r>
        <w:t xml:space="preserve">A generic workflow can operate across many environments.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“Compare monthly financial trends and flag unusual changes.”</w:t>
      </w:r>
    </w:p>
    <w:p>
      <w:pPr>
        <w:pStyle w:val="FirstParagraph"/>
      </w:pPr>
      <w:r>
        <w:t xml:space="preserve">The same workflow can work for:</w:t>
      </w:r>
    </w:p>
    <w:p>
      <w:pPr>
        <w:pStyle w:val="Compact"/>
        <w:numPr>
          <w:ilvl w:val="0"/>
          <w:numId w:val="1008"/>
        </w:numPr>
      </w:pPr>
      <w:r>
        <w:t xml:space="preserve">different clients</w:t>
      </w:r>
    </w:p>
    <w:p>
      <w:pPr>
        <w:pStyle w:val="Compact"/>
        <w:numPr>
          <w:ilvl w:val="0"/>
          <w:numId w:val="1008"/>
        </w:numPr>
      </w:pPr>
      <w:r>
        <w:t xml:space="preserve">different departments</w:t>
      </w:r>
    </w:p>
    <w:p>
      <w:pPr>
        <w:pStyle w:val="Compact"/>
        <w:numPr>
          <w:ilvl w:val="0"/>
          <w:numId w:val="1008"/>
        </w:numPr>
      </w:pPr>
      <w:r>
        <w:t xml:space="preserve">different permission levels</w:t>
      </w:r>
    </w:p>
    <w:p>
      <w:pPr>
        <w:pStyle w:val="Compact"/>
        <w:numPr>
          <w:ilvl w:val="0"/>
          <w:numId w:val="1008"/>
        </w:numPr>
      </w:pPr>
      <w:r>
        <w:t xml:space="preserve">simulations</w:t>
      </w:r>
    </w:p>
    <w:p>
      <w:pPr>
        <w:pStyle w:val="Compact"/>
        <w:numPr>
          <w:ilvl w:val="0"/>
          <w:numId w:val="1008"/>
        </w:numPr>
      </w:pPr>
      <w:r>
        <w:t xml:space="preserve">sandbox environments</w:t>
      </w:r>
    </w:p>
    <w:p>
      <w:pPr>
        <w:pStyle w:val="Compact"/>
        <w:numPr>
          <w:ilvl w:val="0"/>
          <w:numId w:val="1008"/>
        </w:numPr>
      </w:pPr>
      <w:r>
        <w:t xml:space="preserve">production systems</w:t>
      </w:r>
    </w:p>
    <w:p>
      <w:pPr>
        <w:pStyle w:val="FirstParagraph"/>
      </w:pPr>
      <w:r>
        <w:t xml:space="preserve">without rewriting the logic.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ur-long-term-thesis"/>
    <w:p>
      <w:pPr>
        <w:pStyle w:val="Heading1"/>
      </w:pPr>
      <w:r>
        <w:t xml:space="preserve">Our Long-Term Thesis</w:t>
      </w:r>
    </w:p>
    <w:p>
      <w:pPr>
        <w:pStyle w:val="FirstParagraph"/>
      </w:pPr>
      <w:r>
        <w:t xml:space="preserve">We believe the future of AI is not just smarter models.</w:t>
      </w:r>
    </w:p>
    <w:p>
      <w:pPr>
        <w:pStyle w:val="BodyText"/>
      </w:pPr>
      <w:r>
        <w:t xml:space="preserve">It is:</w:t>
      </w:r>
    </w:p>
    <w:p>
      <w:pPr>
        <w:pStyle w:val="Compact"/>
        <w:numPr>
          <w:ilvl w:val="0"/>
          <w:numId w:val="1009"/>
        </w:numPr>
      </w:pPr>
      <w:r>
        <w:t xml:space="preserve">contextual environments</w:t>
      </w:r>
    </w:p>
    <w:p>
      <w:pPr>
        <w:pStyle w:val="Compact"/>
        <w:numPr>
          <w:ilvl w:val="0"/>
          <w:numId w:val="1009"/>
        </w:numPr>
      </w:pPr>
      <w:r>
        <w:t xml:space="preserve">governed intelligence</w:t>
      </w:r>
    </w:p>
    <w:p>
      <w:pPr>
        <w:pStyle w:val="Compact"/>
        <w:numPr>
          <w:ilvl w:val="0"/>
          <w:numId w:val="1009"/>
        </w:numPr>
      </w:pPr>
      <w:r>
        <w:t xml:space="preserve">reversible automation</w:t>
      </w:r>
    </w:p>
    <w:p>
      <w:pPr>
        <w:pStyle w:val="Compact"/>
        <w:numPr>
          <w:ilvl w:val="0"/>
          <w:numId w:val="1009"/>
        </w:numPr>
      </w:pPr>
      <w:r>
        <w:t xml:space="preserve">permission-aware cognition</w:t>
      </w:r>
    </w:p>
    <w:p>
      <w:pPr>
        <w:pStyle w:val="Compact"/>
        <w:numPr>
          <w:ilvl w:val="0"/>
          <w:numId w:val="1009"/>
        </w:numPr>
      </w:pPr>
      <w:r>
        <w:t xml:space="preserve">human-legible systems</w:t>
      </w:r>
    </w:p>
    <w:p>
      <w:pPr>
        <w:pStyle w:val="Compact"/>
        <w:numPr>
          <w:ilvl w:val="0"/>
          <w:numId w:val="1009"/>
        </w:numPr>
      </w:pPr>
      <w:r>
        <w:t xml:space="preserve">consent-aware workflows</w:t>
      </w:r>
    </w:p>
    <w:p>
      <w:pPr>
        <w:pStyle w:val="FirstParagraph"/>
      </w:pPr>
      <w:r>
        <w:t xml:space="preserve">In other words:</w:t>
      </w:r>
    </w:p>
    <w:p>
      <w:pPr>
        <w:pStyle w:val="BlockText"/>
      </w:pPr>
      <w:r>
        <w:t xml:space="preserve">AI needs an operating system layer.</w:t>
      </w:r>
    </w:p>
    <w:p>
      <w:pPr>
        <w:pStyle w:val="FirstParagraph"/>
      </w:pPr>
      <w:r>
        <w:t xml:space="preserve">The same way traditional operating systems created safe environments for software processes, Semantic OS creates safe environments for human and AI collaboration.</w:t>
      </w:r>
    </w:p>
    <w:p>
      <w:r>
        <w:pict>
          <v:rect style="width:0;height:1.5pt" o:hralign="center" o:hrstd="t" o:hr="t"/>
        </w:pict>
      </w:r>
    </w:p>
    <w:bookmarkEnd w:id="34"/>
    <w:bookmarkStart w:id="35" w:name="the-philosophy"/>
    <w:p>
      <w:pPr>
        <w:pStyle w:val="Heading1"/>
      </w:pPr>
      <w:r>
        <w:t xml:space="preserve">The Philosophy</w:t>
      </w:r>
    </w:p>
    <w:p>
      <w:pPr>
        <w:pStyle w:val="FirstParagraph"/>
      </w:pPr>
      <w:r>
        <w:t xml:space="preserve">We are intentionally designing for environments where humans thrive.</w:t>
      </w:r>
    </w:p>
    <w:p>
      <w:pPr>
        <w:pStyle w:val="BodyText"/>
      </w:pPr>
      <w:r>
        <w:t xml:space="preserve">Our belief is:</w:t>
      </w:r>
    </w:p>
    <w:p>
      <w:pPr>
        <w:pStyle w:val="BlockText"/>
      </w:pPr>
      <w:r>
        <w:t xml:space="preserve">If humans can understand, trust, govern, reverse, and collaborate inside the system, increasingly capable AI will become safer and more useful over time.</w:t>
      </w:r>
    </w:p>
    <w:p>
      <w:pPr>
        <w:pStyle w:val="FirstParagraph"/>
      </w:pPr>
      <w:r>
        <w:t xml:space="preserve">Rather than optimizing purely for raw automation, we are optimizing for:</w:t>
      </w:r>
    </w:p>
    <w:p>
      <w:pPr>
        <w:pStyle w:val="Compact"/>
        <w:numPr>
          <w:ilvl w:val="0"/>
          <w:numId w:val="1010"/>
        </w:numPr>
      </w:pPr>
      <w:r>
        <w:t xml:space="preserve">legibility</w:t>
      </w:r>
    </w:p>
    <w:p>
      <w:pPr>
        <w:pStyle w:val="Compact"/>
        <w:numPr>
          <w:ilvl w:val="0"/>
          <w:numId w:val="1010"/>
        </w:numPr>
      </w:pPr>
      <w:r>
        <w:t xml:space="preserve">trust</w:t>
      </w:r>
    </w:p>
    <w:p>
      <w:pPr>
        <w:pStyle w:val="Compact"/>
        <w:numPr>
          <w:ilvl w:val="0"/>
          <w:numId w:val="1010"/>
        </w:numPr>
      </w:pPr>
      <w:r>
        <w:t xml:space="preserve">reversibility</w:t>
      </w:r>
    </w:p>
    <w:p>
      <w:pPr>
        <w:pStyle w:val="Compact"/>
        <w:numPr>
          <w:ilvl w:val="0"/>
          <w:numId w:val="1010"/>
        </w:numPr>
      </w:pPr>
      <w:r>
        <w:t xml:space="preserve">contextual integrity</w:t>
      </w:r>
    </w:p>
    <w:p>
      <w:pPr>
        <w:pStyle w:val="Compact"/>
        <w:numPr>
          <w:ilvl w:val="0"/>
          <w:numId w:val="1010"/>
        </w:numPr>
      </w:pPr>
      <w:r>
        <w:t xml:space="preserve">composability</w:t>
      </w:r>
    </w:p>
    <w:p>
      <w:pPr>
        <w:pStyle w:val="Compact"/>
        <w:numPr>
          <w:ilvl w:val="0"/>
          <w:numId w:val="1010"/>
        </w:numPr>
      </w:pPr>
      <w:r>
        <w:t xml:space="preserve">long-term survivability</w:t>
      </w:r>
    </w:p>
    <w:p>
      <w:r>
        <w:pict>
          <v:rect style="width:0;height:1.5pt" o:hralign="center" o:hrstd="t" o:hr="t"/>
        </w:pict>
      </w:r>
    </w:p>
    <w:bookmarkEnd w:id="35"/>
    <w:bookmarkStart w:id="36" w:name="the-one-sentence-vision"/>
    <w:p>
      <w:pPr>
        <w:pStyle w:val="Heading1"/>
      </w:pPr>
      <w:r>
        <w:t xml:space="preserve">The One-Sentence Vision</w:t>
      </w:r>
    </w:p>
    <w:p>
      <w:pPr>
        <w:pStyle w:val="BlockText"/>
      </w:pPr>
      <w:r>
        <w:t xml:space="preserve">Semantic OS is a context-aware, permission-scoped, consent-governed operating environment where humans and AI agents collaborate safely through prepared virtual workspaces instead of unrestricted access to organizational data.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2026-05-11T23:15:03Z</dcterms:created>
  <dcterms:modified xsi:type="dcterms:W3CDTF">2026-05-11T23:15:03Z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