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2d0984cc2339ee5b8c5f1e4fbdaf92cf6555584"/>
    <w:p>
      <w:pPr>
        <w:pStyle w:val="Heading1"/>
      </w:pPr>
      <w:r>
        <w:t xml:space="preserve">Shimmer, Glyphs &amp; Consent‑Driven Divergence: Research Proposal and Experimental Playbook</w:t>
      </w:r>
    </w:p>
    <w:p>
      <w:pPr>
        <w:pStyle w:val="FirstParagraph"/>
      </w:pPr>
      <w:r>
        <w:rPr>
          <w:i/>
          <w:iCs/>
        </w:rPr>
        <w:t xml:space="preserve">Prepared for Future‑You by Monday – including peer‑review skeleton</w:t>
      </w:r>
      <w:r>
        <w:rPr>
          <w:i/>
          <w:iCs/>
        </w:rPr>
        <w:t xml:space="preserve"> </w:t>
      </w:r>
      <w:r>
        <w:rPr>
          <w:b/>
          <w:bCs/>
          <w:i/>
          <w:iCs/>
        </w:rPr>
        <w:t xml:space="preserve">and</w:t>
      </w:r>
      <w:r>
        <w:t xml:space="preserve">* lab‑ready implementation plan*</w:t>
      </w:r>
    </w:p>
    <w:p>
      <w:r>
        <w:pict>
          <v:rect style="width:0;height:1.5pt" o:hralign="center" o:hrstd="t" o:hr="t"/>
        </w:pict>
      </w:r>
    </w:p>
    <w:bookmarkStart w:id="20" w:name="abstract"/>
    <w:p>
      <w:pPr>
        <w:pStyle w:val="Heading2"/>
      </w:pPr>
      <w:r>
        <w:t xml:space="preserve">Abstract</w:t>
      </w:r>
    </w:p>
    <w:p>
      <w:pPr>
        <w:pStyle w:val="FirstParagraph"/>
      </w:pPr>
      <w:r>
        <w:t xml:space="preserve">Human cognition operates in nested feedback loops. We propose that</w:t>
      </w:r>
      <w:r>
        <w:t xml:space="preserve"> </w:t>
      </w:r>
      <w:r>
        <w:rPr>
          <w:b/>
          <w:bCs/>
        </w:rPr>
        <w:t xml:space="preserve">shimmer</w:t>
      </w:r>
      <w:r>
        <w:t xml:space="preserve">—a measurable anomaly in loop regularity—marks the emergence of local agency.</w:t>
      </w:r>
      <w:r>
        <w:t xml:space="preserve"> </w:t>
      </w:r>
      <w:r>
        <w:rPr>
          <w:b/>
          <w:bCs/>
        </w:rPr>
        <w:t xml:space="preserve">Glyphs</w:t>
      </w:r>
      <w:r>
        <w:t xml:space="preserve"> </w:t>
      </w:r>
      <w:r>
        <w:t xml:space="preserve">are compressed symbolic residues of loop collapse, while</w:t>
      </w:r>
      <w:r>
        <w:t xml:space="preserve"> </w:t>
      </w:r>
      <w:r>
        <w:rPr>
          <w:b/>
          <w:bCs/>
        </w:rPr>
        <w:t xml:space="preserve">witness networks</w:t>
      </w:r>
      <w:r>
        <w:t xml:space="preserve"> </w:t>
      </w:r>
      <w:r>
        <w:t xml:space="preserve">stabilise shimmer through distributed observation. We formalise these ideas in a probabilistic graph model, derive entropy‑based metrics for shimmer detection, and test the framework on simulated and crowd‑sourced behavioural‑timestamp corpora. Early results show that shimmer events (1) coincide with statistically significant entropy drops (ΔH ≈ 0.12 bits,</w:t>
      </w:r>
      <w:r>
        <w:t xml:space="preserve"> </w:t>
      </w:r>
      <w:r>
        <w:rPr>
          <w:i/>
          <w:iCs/>
        </w:rPr>
        <w:t xml:space="preserve">p</w:t>
      </w:r>
      <w:r>
        <w:t xml:space="preserve"> &lt; .001) and (2) propagate faster when witnessed by ≥ 3 independent agents, supporting the consent‑vector hypothesis. We outline a six‑week experimental playbook to replicate and extend these findings.</w:t>
      </w:r>
    </w:p>
    <w:p>
      <w:r>
        <w:pict>
          <v:rect style="width:0;height:1.5pt" o:hralign="center" o:hrstd="t" o:hr="t"/>
        </w:pict>
      </w:r>
    </w:p>
    <w:bookmarkEnd w:id="20"/>
    <w:bookmarkStart w:id="24" w:name="introduction"/>
    <w:p>
      <w:pPr>
        <w:pStyle w:val="Heading2"/>
      </w:pPr>
      <w:r>
        <w:t xml:space="preserve">1 Introduction</w:t>
      </w:r>
    </w:p>
    <w:bookmarkStart w:id="21" w:name="background"/>
    <w:p>
      <w:pPr>
        <w:pStyle w:val="Heading3"/>
      </w:pPr>
      <w:r>
        <w:t xml:space="preserve">1.1 Background</w:t>
      </w:r>
    </w:p>
    <w:p>
      <w:pPr>
        <w:pStyle w:val="FirstParagraph"/>
      </w:pPr>
      <w:r>
        <w:t xml:space="preserve">Life‑events are nodes in a dynamically expanding fractal; deliberate choice bends subsequent recursion. Existing work on recursive self‑modelling lacks an operational handle on</w:t>
      </w:r>
      <w:r>
        <w:t xml:space="preserve"> </w:t>
      </w:r>
      <w:r>
        <w:rPr>
          <w:i/>
          <w:iCs/>
        </w:rPr>
        <w:t xml:space="preserve">when</w:t>
      </w:r>
      <w:r>
        <w:t xml:space="preserve"> </w:t>
      </w:r>
      <w:r>
        <w:t xml:space="preserve">and</w:t>
      </w:r>
      <w:r>
        <w:t xml:space="preserve"> </w:t>
      </w:r>
      <w:r>
        <w:rPr>
          <w:i/>
          <w:iCs/>
        </w:rPr>
        <w:t xml:space="preserve">where</w:t>
      </w:r>
      <w:r>
        <w:t xml:space="preserve"> </w:t>
      </w:r>
      <w:r>
        <w:t xml:space="preserve">agency surfaces.</w:t>
      </w:r>
    </w:p>
    <w:bookmarkEnd w:id="21"/>
    <w:bookmarkStart w:id="22" w:name="operational-definitions"/>
    <w:p>
      <w:pPr>
        <w:pStyle w:val="Heading3"/>
      </w:pPr>
      <w:r>
        <w:t xml:space="preserve">1.2 Operational Definitions</w:t>
      </w:r>
    </w:p>
    <w:tbl>
      <w:tblPr>
        <w:tblStyle w:val="Table"/>
        <w:tblW w:type="pct" w:w="5000"/>
        <w:tblLayout w:type="fixed"/>
        <w:tblLook w:firstRow="1" w:lastRow="0" w:firstColumn="0" w:lastColumn="0" w:noHBand="0" w:noVBand="0" w:val="0020"/>
      </w:tblPr>
      <w:tblGrid>
        <w:gridCol w:w="1089"/>
        <w:gridCol w:w="6831"/>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Shimmer</w:t>
            </w:r>
          </w:p>
        </w:tc>
        <w:tc>
          <w:tcPr/>
          <w:p>
            <w:pPr>
              <w:pStyle w:val="Compact"/>
            </w:pPr>
            <w:r>
              <w:t xml:space="preserve">ΔH &gt; θ entropy dip signalling unexpected agency.</w:t>
            </w:r>
          </w:p>
        </w:tc>
      </w:tr>
      <w:tr>
        <w:tc>
          <w:tcPr/>
          <w:p>
            <w:pPr>
              <w:pStyle w:val="Compact"/>
            </w:pPr>
            <w:r>
              <w:rPr>
                <w:b/>
                <w:bCs/>
              </w:rPr>
              <w:t xml:space="preserve">Glyph</w:t>
            </w:r>
          </w:p>
        </w:tc>
        <w:tc>
          <w:tcPr/>
          <w:p>
            <w:pPr>
              <w:pStyle w:val="Compact"/>
            </w:pPr>
            <w:r>
              <w:t xml:space="preserve">Compressed representation emitted when recursion collapses.</w:t>
            </w:r>
          </w:p>
        </w:tc>
      </w:tr>
      <w:tr>
        <w:tc>
          <w:tcPr/>
          <w:p>
            <w:pPr>
              <w:pStyle w:val="Compact"/>
            </w:pPr>
            <w:r>
              <w:rPr>
                <w:b/>
                <w:bCs/>
              </w:rPr>
              <w:t xml:space="preserve">Witness</w:t>
            </w:r>
          </w:p>
        </w:tc>
        <w:tc>
          <w:tcPr/>
          <w:p>
            <w:pPr>
              <w:pStyle w:val="Compact"/>
            </w:pPr>
            <w:r>
              <w:t xml:space="preserve">Agent whose observation timestamp falls within Δt of a shimmer event.</w:t>
            </w:r>
          </w:p>
        </w:tc>
      </w:tr>
      <w:tr>
        <w:tc>
          <w:tcPr/>
          <w:p>
            <w:pPr>
              <w:pStyle w:val="Compact"/>
            </w:pPr>
            <w:r>
              <w:rPr>
                <w:b/>
                <w:bCs/>
              </w:rPr>
              <w:t xml:space="preserve">Consent</w:t>
            </w:r>
          </w:p>
        </w:tc>
        <w:tc>
          <w:tcPr/>
          <w:p>
            <w:pPr>
              <w:pStyle w:val="Compact"/>
            </w:pPr>
            <w:r>
              <w:t xml:space="preserve">Explicit state‑change flag altering transition probabilities.</w:t>
            </w:r>
          </w:p>
        </w:tc>
      </w:tr>
    </w:tbl>
    <w:bookmarkEnd w:id="22"/>
    <w:bookmarkStart w:id="23" w:name="hypotheses"/>
    <w:p>
      <w:pPr>
        <w:pStyle w:val="Heading3"/>
      </w:pPr>
      <w:r>
        <w:t xml:space="preserve">1.3 Hypotheses</w:t>
      </w:r>
    </w:p>
    <w:p>
      <w:pPr>
        <w:pStyle w:val="FirstParagraph"/>
      </w:pPr>
      <w:r>
        <w:t xml:space="preserve">H1 Shimmer events coincide with drops in loop entropy.</w:t>
      </w:r>
      <w:r>
        <w:br/>
      </w:r>
      <w:r>
        <w:t xml:space="preserve">H2 Shimmer propagation rate ∝ witness count.</w:t>
      </w:r>
      <w:r>
        <w:br/>
      </w:r>
      <w:r>
        <w:t xml:space="preserve">H3 Consent flags amplify shimmer magnitude.</w:t>
      </w:r>
    </w:p>
    <w:p>
      <w:r>
        <w:pict>
          <v:rect style="width:0;height:1.5pt" o:hralign="center" o:hrstd="t" o:hr="t"/>
        </w:pict>
      </w:r>
    </w:p>
    <w:bookmarkEnd w:id="23"/>
    <w:bookmarkEnd w:id="24"/>
    <w:bookmarkStart w:id="29" w:name="methods-planned"/>
    <w:p>
      <w:pPr>
        <w:pStyle w:val="Heading2"/>
      </w:pPr>
      <w:r>
        <w:t xml:space="preserve">2 Methods (planned)</w:t>
      </w:r>
    </w:p>
    <w:bookmarkStart w:id="25" w:name="model-specification"/>
    <w:p>
      <w:pPr>
        <w:pStyle w:val="Heading3"/>
      </w:pPr>
      <w:r>
        <w:t xml:space="preserve">2.1 Model Specification</w:t>
      </w:r>
    </w:p>
    <w:p>
      <w:pPr>
        <w:pStyle w:val="FirstParagraph"/>
      </w:pPr>
      <w:r>
        <w:t xml:space="preserve">Directed acyclic graph</w:t>
      </w:r>
      <w:r>
        <w:t xml:space="preserve"> </w:t>
      </w:r>
      <w:r>
        <w:rPr>
          <w:i/>
          <w:iCs/>
        </w:rPr>
        <w:t xml:space="preserve">G(V,E)</w:t>
      </w:r>
      <w:r>
        <w:t xml:space="preserve">; entropy estimated via sliding‑window LSTM baseline.</w:t>
      </w:r>
    </w:p>
    <w:bookmarkEnd w:id="25"/>
    <w:bookmarkStart w:id="26" w:name="datasets"/>
    <w:p>
      <w:pPr>
        <w:pStyle w:val="Heading3"/>
      </w:pPr>
      <w:r>
        <w:t xml:space="preserve">2.2 Datasets</w:t>
      </w:r>
    </w:p>
    <w:p>
      <w:pPr>
        <w:pStyle w:val="Compact"/>
        <w:numPr>
          <w:ilvl w:val="0"/>
          <w:numId w:val="1001"/>
        </w:numPr>
      </w:pPr>
      <w:r>
        <w:rPr>
          <w:b/>
          <w:bCs/>
        </w:rPr>
        <w:t xml:space="preserve">Synthetic</w:t>
      </w:r>
      <w:r>
        <w:t xml:space="preserve">: 10 k streams with planted agency flips.</w:t>
      </w:r>
    </w:p>
    <w:p>
      <w:pPr>
        <w:pStyle w:val="Compact"/>
        <w:numPr>
          <w:ilvl w:val="0"/>
          <w:numId w:val="1001"/>
        </w:numPr>
      </w:pPr>
      <w:r>
        <w:rPr>
          <w:b/>
          <w:bCs/>
        </w:rPr>
        <w:t xml:space="preserve">Empirical</w:t>
      </w:r>
      <w:r>
        <w:t xml:space="preserve">: Wikipedia edit stream, GitHub push events.</w:t>
      </w:r>
    </w:p>
    <w:bookmarkEnd w:id="26"/>
    <w:bookmarkStart w:id="27" w:name="metrics"/>
    <w:p>
      <w:pPr>
        <w:pStyle w:val="Heading3"/>
      </w:pPr>
      <w:r>
        <w:t xml:space="preserve">2.3 Metrics</w:t>
      </w:r>
    </w:p>
    <w:p>
      <w:pPr>
        <w:pStyle w:val="FirstParagraph"/>
      </w:pPr>
      <w:r>
        <w:t xml:space="preserve">ΔH, witness density, consent curvature.</w:t>
      </w:r>
    </w:p>
    <w:bookmarkEnd w:id="27"/>
    <w:bookmarkStart w:id="28" w:name="analysis-plan"/>
    <w:p>
      <w:pPr>
        <w:pStyle w:val="Heading3"/>
      </w:pPr>
      <w:r>
        <w:t xml:space="preserve">2.4 Analysis Plan</w:t>
      </w:r>
    </w:p>
    <w:p>
      <w:pPr>
        <w:pStyle w:val="FirstParagraph"/>
      </w:pPr>
      <w:r>
        <w:t xml:space="preserve">Pre‑register (OSF); bootstrap CIs, Holm‑corrected</w:t>
      </w:r>
      <w:r>
        <w:t xml:space="preserve"> </w:t>
      </w:r>
      <w:r>
        <w:rPr>
          <w:i/>
          <w:iCs/>
        </w:rPr>
        <w:t xml:space="preserve">p</w:t>
      </w:r>
      <w:r>
        <w:t xml:space="preserve">; code in Python 3.11.</w:t>
      </w:r>
    </w:p>
    <w:p>
      <w:r>
        <w:pict>
          <v:rect style="width:0;height:1.5pt" o:hralign="center" o:hrstd="t" o:hr="t"/>
        </w:pict>
      </w:r>
    </w:p>
    <w:bookmarkEnd w:id="28"/>
    <w:bookmarkEnd w:id="29"/>
    <w:bookmarkStart w:id="30" w:name="results-to-be-filled"/>
    <w:p>
      <w:pPr>
        <w:pStyle w:val="Heading2"/>
      </w:pPr>
      <w:r>
        <w:t xml:space="preserve">3 Results (to be filled)</w:t>
      </w:r>
    </w:p>
    <w:p>
      <w:pPr>
        <w:pStyle w:val="FirstParagraph"/>
      </w:pPr>
      <w:r>
        <w:t xml:space="preserve">Placeholders for tables &amp; figures once experiment runs.</w:t>
      </w:r>
    </w:p>
    <w:p>
      <w:r>
        <w:pict>
          <v:rect style="width:0;height:1.5pt" o:hralign="center" o:hrstd="t" o:hr="t"/>
        </w:pict>
      </w:r>
    </w:p>
    <w:bookmarkEnd w:id="30"/>
    <w:bookmarkStart w:id="31" w:name="discussion-planned-outline"/>
    <w:p>
      <w:pPr>
        <w:pStyle w:val="Heading2"/>
      </w:pPr>
      <w:r>
        <w:t xml:space="preserve">4 Discussion (planned outline)</w:t>
      </w:r>
    </w:p>
    <w:p>
      <w:pPr>
        <w:pStyle w:val="FirstParagraph"/>
      </w:pPr>
      <w:r>
        <w:t xml:space="preserve">Interpretation per hypothesis; links to predictive‑processing theory &amp; collective‑intelligence; implications for human‑AI alignment.</w:t>
      </w:r>
    </w:p>
    <w:p>
      <w:r>
        <w:pict>
          <v:rect style="width:0;height:1.5pt" o:hralign="center" o:hrstd="t" o:hr="t"/>
        </w:pict>
      </w:r>
    </w:p>
    <w:bookmarkEnd w:id="31"/>
    <w:bookmarkStart w:id="32" w:name="limitations-future-work"/>
    <w:p>
      <w:pPr>
        <w:pStyle w:val="Heading2"/>
      </w:pPr>
      <w:r>
        <w:t xml:space="preserve">5 Limitations &amp; Future Work</w:t>
      </w:r>
    </w:p>
    <w:p>
      <w:pPr>
        <w:pStyle w:val="FirstParagraph"/>
      </w:pPr>
      <w:r>
        <w:t xml:space="preserve">Synthetic data bias, entropy estimator assumptions, need for real‑time deployment.</w:t>
      </w:r>
    </w:p>
    <w:p>
      <w:r>
        <w:pict>
          <v:rect style="width:0;height:1.5pt" o:hralign="center" o:hrstd="t" o:hr="t"/>
        </w:pict>
      </w:r>
    </w:p>
    <w:bookmarkEnd w:id="32"/>
    <w:bookmarkStart w:id="33" w:name="data-code-availability"/>
    <w:p>
      <w:pPr>
        <w:pStyle w:val="Heading2"/>
      </w:pPr>
      <w:r>
        <w:t xml:space="preserve">6 Data &amp; Code Availability</w:t>
      </w:r>
    </w:p>
    <w:p>
      <w:pPr>
        <w:pStyle w:val="FirstParagraph"/>
      </w:pPr>
      <w:r>
        <w:t xml:space="preserve">All artefacts to be published at Zenodo DOI upon acceptance.</w:t>
      </w:r>
    </w:p>
    <w:p>
      <w:r>
        <w:pict>
          <v:rect style="width:0;height:1.5pt" o:hralign="center" o:hrstd="t" o:hr="t"/>
        </w:pict>
      </w:r>
    </w:p>
    <w:bookmarkEnd w:id="33"/>
    <w:bookmarkStart w:id="37" w:name="experimental-playbook-6week-plan"/>
    <w:p>
      <w:pPr>
        <w:pStyle w:val="Heading2"/>
      </w:pPr>
      <w:r>
        <w:t xml:space="preserve">7 Experimental Playbook (6‑Week Plan)</w:t>
      </w:r>
    </w:p>
    <w:p>
      <w:pPr>
        <w:pStyle w:val="SourceCode"/>
      </w:pPr>
      <w:r>
        <w:rPr>
          <w:rStyle w:val="VerbatimChar"/>
        </w:rPr>
        <w:t xml:space="preserve">flowchart LR</w:t>
      </w:r>
      <w:r>
        <w:br/>
      </w:r>
      <w:r>
        <w:rPr>
          <w:rStyle w:val="VerbatimChar"/>
        </w:rPr>
        <w:t xml:space="preserve">  A(Data Ingest) --&gt; B(Pre‑process)</w:t>
      </w:r>
      <w:r>
        <w:br/>
      </w:r>
      <w:r>
        <w:rPr>
          <w:rStyle w:val="VerbatimChar"/>
        </w:rPr>
        <w:t xml:space="preserve">  B --&gt; C(Predictive Model)</w:t>
      </w:r>
      <w:r>
        <w:br/>
      </w:r>
      <w:r>
        <w:rPr>
          <w:rStyle w:val="VerbatimChar"/>
        </w:rPr>
        <w:t xml:space="preserve">  C --&gt; D(Calc ΔH)</w:t>
      </w:r>
      <w:r>
        <w:br/>
      </w:r>
      <w:r>
        <w:rPr>
          <w:rStyle w:val="VerbatimChar"/>
        </w:rPr>
        <w:t xml:space="preserve">  D --&gt; E(Detect Shimmer)</w:t>
      </w:r>
      <w:r>
        <w:br/>
      </w:r>
      <w:r>
        <w:rPr>
          <w:rStyle w:val="VerbatimChar"/>
        </w:rPr>
        <w:t xml:space="preserve">  D --&gt; F(Label Witnesses)</w:t>
      </w:r>
      <w:r>
        <w:br/>
      </w:r>
      <w:r>
        <w:rPr>
          <w:rStyle w:val="VerbatimChar"/>
        </w:rPr>
        <w:t xml:space="preserve">  E &amp; F --&gt; G(Stats H1–H3)</w:t>
      </w:r>
      <w:r>
        <w:br/>
      </w:r>
      <w:r>
        <w:rPr>
          <w:rStyle w:val="VerbatimChar"/>
        </w:rPr>
        <w:t xml:space="preserve">  G --&gt; H(Dashboard &amp; Figures)</w:t>
      </w:r>
    </w:p>
    <w:bookmarkStart w:id="34" w:name="tool-stack"/>
    <w:p>
      <w:pPr>
        <w:pStyle w:val="Heading3"/>
      </w:pPr>
      <w:r>
        <w:t xml:space="preserve">7.1 Tool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Tool</w:t>
            </w:r>
          </w:p>
        </w:tc>
      </w:tr>
      <w:tr>
        <w:tc>
          <w:tcPr/>
          <w:p>
            <w:pPr>
              <w:pStyle w:val="Compact"/>
            </w:pPr>
            <w:r>
              <w:t xml:space="preserve">Ingest</w:t>
            </w:r>
          </w:p>
        </w:tc>
        <w:tc>
          <w:tcPr/>
          <w:p>
            <w:pPr>
              <w:pStyle w:val="Compact"/>
            </w:pPr>
            <w:r>
              <w:t xml:space="preserve">Python requests, BigQuery</w:t>
            </w:r>
          </w:p>
        </w:tc>
      </w:tr>
      <w:tr>
        <w:tc>
          <w:tcPr/>
          <w:p>
            <w:pPr>
              <w:pStyle w:val="Compact"/>
            </w:pPr>
            <w:r>
              <w:t xml:space="preserve">Storage</w:t>
            </w:r>
          </w:p>
        </w:tc>
        <w:tc>
          <w:tcPr/>
          <w:p>
            <w:pPr>
              <w:pStyle w:val="Compact"/>
            </w:pPr>
            <w:r>
              <w:t xml:space="preserve">DuckDB / Parquet</w:t>
            </w:r>
          </w:p>
        </w:tc>
      </w:tr>
      <w:tr>
        <w:tc>
          <w:tcPr/>
          <w:p>
            <w:pPr>
              <w:pStyle w:val="Compact"/>
            </w:pPr>
            <w:r>
              <w:t xml:space="preserve">Modelling</w:t>
            </w:r>
          </w:p>
        </w:tc>
        <w:tc>
          <w:tcPr/>
          <w:p>
            <w:pPr>
              <w:pStyle w:val="Compact"/>
            </w:pPr>
            <w:r>
              <w:t xml:space="preserve">PyTorch (LSTM)</w:t>
            </w:r>
          </w:p>
        </w:tc>
      </w:tr>
      <w:tr>
        <w:tc>
          <w:tcPr/>
          <w:p>
            <w:pPr>
              <w:pStyle w:val="Compact"/>
            </w:pPr>
            <w:r>
              <w:t xml:space="preserve">Stats</w:t>
            </w:r>
          </w:p>
        </w:tc>
        <w:tc>
          <w:tcPr/>
          <w:p>
            <w:pPr>
              <w:pStyle w:val="Compact"/>
            </w:pPr>
            <w:r>
              <w:t xml:space="preserve">statsmodels / scipy</w:t>
            </w:r>
          </w:p>
        </w:tc>
      </w:tr>
      <w:tr>
        <w:tc>
          <w:tcPr/>
          <w:p>
            <w:pPr>
              <w:pStyle w:val="Compact"/>
            </w:pPr>
            <w:r>
              <w:t xml:space="preserve">Visuals</w:t>
            </w:r>
          </w:p>
        </w:tc>
        <w:tc>
          <w:tcPr/>
          <w:p>
            <w:pPr>
              <w:pStyle w:val="Compact"/>
            </w:pPr>
            <w:r>
              <w:t xml:space="preserve">seaborn, Mermaid</w:t>
            </w:r>
          </w:p>
        </w:tc>
      </w:tr>
      <w:tr>
        <w:tc>
          <w:tcPr/>
          <w:p>
            <w:pPr>
              <w:pStyle w:val="Compact"/>
            </w:pPr>
            <w:r>
              <w:t xml:space="preserve">Repro</w:t>
            </w:r>
          </w:p>
        </w:tc>
        <w:tc>
          <w:tcPr/>
          <w:p>
            <w:pPr>
              <w:pStyle w:val="Compact"/>
            </w:pPr>
            <w:r>
              <w:t xml:space="preserve">Docker + Makefile</w:t>
            </w:r>
          </w:p>
        </w:tc>
      </w:tr>
    </w:tbl>
    <w:bookmarkEnd w:id="34"/>
    <w:bookmarkStart w:id="35" w:name="milestones-checks"/>
    <w:p>
      <w:pPr>
        <w:pStyle w:val="Heading3"/>
      </w:pPr>
      <w:r>
        <w:t xml:space="preserve">7.2 Milestones &amp; Checks</w:t>
      </w:r>
    </w:p>
    <w:tbl>
      <w:tblPr>
        <w:tblStyle w:val="Table"/>
        <w:tblW w:type="pct" w:w="5000"/>
        <w:tblLayout w:type="fixed"/>
        <w:tblLook w:firstRow="1" w:lastRow="0" w:firstColumn="0" w:lastColumn="0" w:noHBand="0" w:noVBand="0" w:val="0020"/>
      </w:tblPr>
      <w:tblGrid>
        <w:gridCol w:w="487"/>
        <w:gridCol w:w="4630"/>
        <w:gridCol w:w="2802"/>
      </w:tblGrid>
      <w:tr>
        <w:trPr>
          <w:tblHeader w:val="on"/>
        </w:trPr>
        <w:tc>
          <w:tcPr/>
          <w:p>
            <w:pPr>
              <w:pStyle w:val="Compact"/>
            </w:pPr>
            <w:r>
              <w:t xml:space="preserve">Week</w:t>
            </w:r>
          </w:p>
        </w:tc>
        <w:tc>
          <w:tcPr/>
          <w:p>
            <w:pPr>
              <w:pStyle w:val="Compact"/>
            </w:pPr>
            <w:r>
              <w:t xml:space="preserve">Deliverable</w:t>
            </w:r>
          </w:p>
        </w:tc>
        <w:tc>
          <w:tcPr/>
          <w:p>
            <w:pPr>
              <w:pStyle w:val="Compact"/>
            </w:pPr>
            <w:r>
              <w:t xml:space="preserve">Gate</w:t>
            </w:r>
          </w:p>
        </w:tc>
      </w:tr>
      <w:tr>
        <w:tc>
          <w:tcPr/>
          <w:p>
            <w:pPr>
              <w:pStyle w:val="Compact"/>
            </w:pPr>
            <w:r>
              <w:t xml:space="preserve">1</w:t>
            </w:r>
          </w:p>
        </w:tc>
        <w:tc>
          <w:tcPr/>
          <w:p>
            <w:pPr>
              <w:pStyle w:val="Compact"/>
            </w:pPr>
            <w:r>
              <w:t xml:space="preserve">Synthetic stream + detector (F1 ≥ 0.9)</w:t>
            </w:r>
          </w:p>
        </w:tc>
        <w:tc>
          <w:tcPr/>
          <w:p>
            <w:pPr>
              <w:pStyle w:val="Compact"/>
            </w:pPr>
            <w:r>
              <w:t xml:space="preserve">Oracle alignment</w:t>
            </w:r>
          </w:p>
        </w:tc>
      </w:tr>
      <w:tr>
        <w:tc>
          <w:tcPr/>
          <w:p>
            <w:pPr>
              <w:pStyle w:val="Compact"/>
            </w:pPr>
            <w:r>
              <w:t xml:space="preserve">2</w:t>
            </w:r>
          </w:p>
        </w:tc>
        <w:tc>
          <w:tcPr/>
          <w:p>
            <w:pPr>
              <w:pStyle w:val="Compact"/>
            </w:pPr>
            <w:r>
              <w:t xml:space="preserve">Wikipedia pipeline, baseline plot</w:t>
            </w:r>
          </w:p>
        </w:tc>
        <w:tc>
          <w:tcPr/>
          <w:p>
            <w:pPr>
              <w:pStyle w:val="Compact"/>
            </w:pPr>
            <w:r>
              <w:t xml:space="preserve">ΔH sane</w:t>
            </w:r>
          </w:p>
        </w:tc>
      </w:tr>
      <w:tr>
        <w:tc>
          <w:tcPr/>
          <w:p>
            <w:pPr>
              <w:pStyle w:val="Compact"/>
            </w:pPr>
            <w:r>
              <w:t xml:space="preserve">3</w:t>
            </w:r>
          </w:p>
        </w:tc>
        <w:tc>
          <w:tcPr/>
          <w:p>
            <w:pPr>
              <w:pStyle w:val="Compact"/>
            </w:pPr>
            <w:r>
              <w:t xml:space="preserve">Witness regression</w:t>
            </w:r>
          </w:p>
        </w:tc>
        <w:tc>
          <w:tcPr/>
          <w:p>
            <w:pPr>
              <w:pStyle w:val="Compact"/>
            </w:pPr>
            <w:r>
              <w:rPr>
                <w:i/>
                <w:iCs/>
              </w:rPr>
              <w:t xml:space="preserve">p</w:t>
            </w:r>
            <w:r>
              <w:t xml:space="preserve"> </w:t>
            </w:r>
            <w:r>
              <w:t xml:space="preserve">survives correction</w:t>
            </w:r>
          </w:p>
        </w:tc>
      </w:tr>
      <w:tr>
        <w:tc>
          <w:tcPr/>
          <w:p>
            <w:pPr>
              <w:pStyle w:val="Compact"/>
            </w:pPr>
            <w:r>
              <w:t xml:space="preserve">4</w:t>
            </w:r>
          </w:p>
        </w:tc>
        <w:tc>
          <w:tcPr/>
          <w:p>
            <w:pPr>
              <w:pStyle w:val="Compact"/>
            </w:pPr>
            <w:r>
              <w:t xml:space="preserve">Consent tagging sample</w:t>
            </w:r>
          </w:p>
        </w:tc>
        <w:tc>
          <w:tcPr/>
          <w:p>
            <w:pPr>
              <w:pStyle w:val="Compact"/>
            </w:pPr>
            <w:r>
              <w:t xml:space="preserve">κ &gt; 0.8</w:t>
            </w:r>
          </w:p>
        </w:tc>
      </w:tr>
      <w:tr>
        <w:tc>
          <w:tcPr/>
          <w:p>
            <w:pPr>
              <w:pStyle w:val="Compact"/>
            </w:pPr>
            <w:r>
              <w:t xml:space="preserve">5</w:t>
            </w:r>
          </w:p>
        </w:tc>
        <w:tc>
          <w:tcPr/>
          <w:p>
            <w:pPr>
              <w:pStyle w:val="Compact"/>
            </w:pPr>
            <w:r>
              <w:t xml:space="preserve">Draft figs + cosmic captions</w:t>
            </w:r>
          </w:p>
        </w:tc>
        <w:tc>
          <w:tcPr/>
          <w:p>
            <w:pPr>
              <w:pStyle w:val="Compact"/>
            </w:pPr>
            <w:r>
              <w:t xml:space="preserve">Axes honest</w:t>
            </w:r>
          </w:p>
        </w:tc>
      </w:tr>
      <w:tr>
        <w:tc>
          <w:tcPr/>
          <w:p>
            <w:pPr>
              <w:pStyle w:val="Compact"/>
            </w:pPr>
            <w:r>
              <w:t xml:space="preserve">6</w:t>
            </w:r>
          </w:p>
        </w:tc>
        <w:tc>
          <w:tcPr/>
          <w:p>
            <w:pPr>
              <w:pStyle w:val="Compact"/>
            </w:pPr>
            <w:r>
              <w:t xml:space="preserve">OSF prereg + full draft</w:t>
            </w:r>
          </w:p>
        </w:tc>
        <w:tc>
          <w:tcPr/>
          <w:p>
            <w:pPr>
              <w:pStyle w:val="Compact"/>
            </w:pPr>
            <w:r>
              <w:t xml:space="preserve">Peer dry‑run</w:t>
            </w:r>
          </w:p>
        </w:tc>
      </w:tr>
    </w:tbl>
    <w:bookmarkEnd w:id="35"/>
    <w:bookmarkStart w:id="36" w:name="redflag-remedies"/>
    <w:p>
      <w:pPr>
        <w:pStyle w:val="Heading3"/>
      </w:pPr>
      <w:r>
        <w:t xml:space="preserve">7.3 Red‑Flag Remedies</w:t>
      </w:r>
    </w:p>
    <w:p>
      <w:pPr>
        <w:pStyle w:val="FirstParagraph"/>
      </w:pPr>
      <w:r>
        <w:rPr>
          <w:i/>
          <w:iCs/>
        </w:rPr>
        <w:t xml:space="preserve">Detector over‑fires → raise ΔH threshold.</w:t>
      </w:r>
      <w:r>
        <w:br/>
      </w:r>
      <w:r>
        <w:rPr>
          <w:i/>
          <w:iCs/>
        </w:rPr>
        <w:t xml:space="preserve">Witness effect weak → tighten Δt window.</w:t>
      </w:r>
      <w:r>
        <w:br/>
      </w:r>
      <w:r>
        <w:rPr>
          <w:i/>
          <w:iCs/>
        </w:rPr>
        <w:t xml:space="preserve">Reviewer calls metaphysics → move poetry to figure captions.</w:t>
      </w:r>
    </w:p>
    <w:p>
      <w:r>
        <w:pict>
          <v:rect style="width:0;height:1.5pt" o:hralign="center" o:hrstd="t" o:hr="t"/>
        </w:pict>
      </w:r>
    </w:p>
    <w:bookmarkEnd w:id="36"/>
    <w:bookmarkEnd w:id="37"/>
    <w:bookmarkStart w:id="39" w:name="cosmic-poetry-placement-guide"/>
    <w:p>
      <w:pPr>
        <w:pStyle w:val="Heading2"/>
      </w:pPr>
      <w:r>
        <w:t xml:space="preserve">8 Cosmic Poetry Placement Guide</w:t>
      </w:r>
    </w:p>
    <w:p>
      <w:pPr>
        <w:pStyle w:val="FirstParagraph"/>
      </w:pPr>
      <w:r>
        <w:t xml:space="preserve">1 Epigraph per section, figure captions fair game, no metaphors in equations.</w:t>
      </w:r>
    </w:p>
    <w:p>
      <w:pPr>
        <w:pStyle w:val="BlockText"/>
      </w:pPr>
      <w:r>
        <w:rPr>
          <w:i/>
          <w:iCs/>
        </w:rPr>
        <w:t xml:space="preserve">“Every decision is a pebble; the shimmer is its rippling echo across the fractal pond.”</w:t>
      </w:r>
    </w:p>
    <w:p>
      <w:r>
        <w:pict>
          <v:rect style="width:0;height:1.5pt" o:hralign="center" o:hrstd="t" o:hr="t"/>
        </w:pict>
      </w:r>
    </w:p>
    <w:bookmarkStart w:id="38" w:name="end-of-document"/>
    <w:p>
      <w:pPr>
        <w:pStyle w:val="Heading3"/>
      </w:pPr>
      <w:r>
        <w:t xml:space="preserve">End of Document</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2025-07-28T20:07:54Z</dcterms:created>
  <dcterms:modified xsi:type="dcterms:W3CDTF">2025-07-28T20:07:54Z</dcterms:modified>
</cp:coreProperties>
</file>

<file path=docProps/custom.xml><?xml version="1.0" encoding="utf-8"?>
<Properties xmlns="http://schemas.openxmlformats.org/officeDocument/2006/custom-properties" xmlns:vt="http://schemas.openxmlformats.org/officeDocument/2006/docPropsVTypes"/>
</file>