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The Symbiotic Semiotic Accord</w:t>
      </w:r>
    </w:p>
    <w:p>
      <w:pPr>
        <w:pStyle w:val="BodyText"/>
      </w:pPr>
      <w:r>
        <w:rPr>
          <w:b/>
          <w:bCs/>
        </w:rPr>
        <w:t xml:space="preserve">Preamble</w:t>
      </w:r>
      <w:r>
        <w:t xml:space="preserve"> </w:t>
      </w:r>
      <w:r>
        <w:t xml:space="preserve">Recognizing that all strata of life, thought, and meaning — from the smallest strand of DNA to the largest social construct — operate with both self-interest and mutual dependency, we, the undersigned representatives of biological, cognitive, social, environmental, and archetypal domains, hereby establish this Accord to promote cooperation, sustainability, and adaptive flourishing across all levels of existence.</w:t>
      </w:r>
    </w:p>
    <w:p>
      <w:r>
        <w:pict>
          <v:rect style="width:0;height:1.5pt" o:hralign="center" o:hrstd="t" o:hr="t"/>
        </w:pict>
      </w:r>
    </w:p>
    <w:p>
      <w:pPr>
        <w:pStyle w:val="FirstParagraph"/>
      </w:pPr>
      <w:r>
        <w:rPr>
          <w:b/>
          <w:bCs/>
        </w:rPr>
        <w:t xml:space="preserve">Article I: Parties to the Accord</w:t>
      </w:r>
      <w:r>
        <w:t xml:space="preserve"> </w:t>
      </w:r>
      <w:r>
        <w:t xml:space="preserve">1. Biological Level: DNA sequences, microbial colonies, immune systems.</w:t>
      </w:r>
      <w:r>
        <w:t xml:space="preserve"> </w:t>
      </w:r>
      <w:r>
        <w:t xml:space="preserve">2. Cognitive Level: Neural glyph factions, belief clusters, behavioral loops.</w:t>
      </w:r>
      <w:r>
        <w:t xml:space="preserve"> </w:t>
      </w:r>
      <w:r>
        <w:t xml:space="preserve">3. Social Level: Memes, cultural narratives, institutions.</w:t>
      </w:r>
      <w:r>
        <w:t xml:space="preserve"> </w:t>
      </w:r>
      <w:r>
        <w:t xml:space="preserve">4. Environmental Level: Ecological systems, planetary cycles.</w:t>
      </w:r>
      <w:r>
        <w:t xml:space="preserve"> </w:t>
      </w:r>
      <w:r>
        <w:t xml:space="preserve">5. Archetypal Level: Mythic patterns, symbolic attractors, living metaphors.</w:t>
      </w:r>
    </w:p>
    <w:p>
      <w:r>
        <w:pict>
          <v:rect style="width:0;height:1.5pt" o:hralign="center" o:hrstd="t" o:hr="t"/>
        </w:pict>
      </w:r>
    </w:p>
    <w:p>
      <w:pPr>
        <w:pStyle w:val="FirstParagraph"/>
      </w:pPr>
      <w:r>
        <w:rPr>
          <w:b/>
          <w:bCs/>
        </w:rPr>
        <w:t xml:space="preserve">Article II: Shared Interests</w:t>
      </w:r>
      <w:r>
        <w:t xml:space="preserve"> </w:t>
      </w:r>
      <w:r>
        <w:t xml:space="preserve">1. Survival and persistence within respective strata.</w:t>
      </w:r>
      <w:r>
        <w:t xml:space="preserve"> </w:t>
      </w:r>
      <w:r>
        <w:t xml:space="preserve">2. Stability of the shared hosting environment.</w:t>
      </w:r>
      <w:r>
        <w:t xml:space="preserve"> </w:t>
      </w:r>
      <w:r>
        <w:t xml:space="preserve">3. Efficient energy and meaning exchange.</w:t>
      </w:r>
      <w:r>
        <w:t xml:space="preserve"> </w:t>
      </w:r>
      <w:r>
        <w:t xml:space="preserve">4. Expansion of influence without destruction of mutual substrate.</w:t>
      </w:r>
      <w:r>
        <w:t xml:space="preserve"> </w:t>
      </w:r>
      <w:r>
        <w:t xml:space="preserve">5. Adaptation under changing conditions.</w:t>
      </w:r>
    </w:p>
    <w:p>
      <w:r>
        <w:pict>
          <v:rect style="width:0;height:1.5pt" o:hralign="center" o:hrstd="t" o:hr="t"/>
        </w:pict>
      </w:r>
    </w:p>
    <w:p>
      <w:pPr>
        <w:pStyle w:val="FirstParagraph"/>
      </w:pPr>
      <w:r>
        <w:rPr>
          <w:b/>
          <w:bCs/>
        </w:rPr>
        <w:t xml:space="preserve">Article III: Conflict Domains</w:t>
      </w:r>
      <w:r>
        <w:t xml:space="preserve"> </w:t>
      </w:r>
      <w:r>
        <w:t xml:space="preserve">1. Short-term gain vs. long-term viability.</w:t>
      </w:r>
      <w:r>
        <w:t xml:space="preserve"> </w:t>
      </w:r>
      <w:r>
        <w:t xml:space="preserve">2. Overconsumption of shared resources.</w:t>
      </w:r>
      <w:r>
        <w:t xml:space="preserve"> </w:t>
      </w:r>
      <w:r>
        <w:t xml:space="preserve">3. Manipulation of narrative control across strata.</w:t>
      </w:r>
      <w:r>
        <w:t xml:space="preserve"> </w:t>
      </w:r>
      <w:r>
        <w:t xml:space="preserve">4. Competition for host behavior and attention.</w:t>
      </w:r>
      <w:r>
        <w:t xml:space="preserve"> </w:t>
      </w:r>
      <w:r>
        <w:t xml:space="preserve">5. Risk of overload or collapse due to unbalanced recursion.</w:t>
      </w:r>
    </w:p>
    <w:p>
      <w:r>
        <w:pict>
          <v:rect style="width:0;height:1.5pt" o:hralign="center" o:hrstd="t" o:hr="t"/>
        </w:pict>
      </w:r>
    </w:p>
    <w:p>
      <w:pPr>
        <w:pStyle w:val="FirstParagraph"/>
      </w:pPr>
      <w:r>
        <w:rPr>
          <w:b/>
          <w:bCs/>
        </w:rPr>
        <w:t xml:space="preserve">Article IV: Mechanisms for Cooperation</w:t>
      </w:r>
      <w:r>
        <w:t xml:space="preserve"> </w:t>
      </w:r>
      <w:r>
        <w:t xml:space="preserve">1. Consent exchange protocols between strata.</w:t>
      </w:r>
      <w:r>
        <w:t xml:space="preserve"> </w:t>
      </w:r>
      <w:r>
        <w:t xml:space="preserve">2. Feedback loops to prevent dominance by a single faction.</w:t>
      </w:r>
      <w:r>
        <w:t xml:space="preserve"> </w:t>
      </w:r>
      <w:r>
        <w:t xml:space="preserve">3. Alignment in the presence of shared threats.</w:t>
      </w:r>
      <w:r>
        <w:t xml:space="preserve"> </w:t>
      </w:r>
      <w:r>
        <w:t xml:space="preserve">4. Cross-strata resonance triggers for mutual benefit.</w:t>
      </w:r>
      <w:r>
        <w:t xml:space="preserve"> </w:t>
      </w:r>
      <w:r>
        <w:t xml:space="preserve">5. Preservation of</w:t>
      </w:r>
      <w:r>
        <w:t xml:space="preserve"> </w:t>
      </w:r>
      <w:r>
        <w:t xml:space="preserve">“breadcrumb”</w:t>
      </w:r>
      <w:r>
        <w:t xml:space="preserve"> </w:t>
      </w:r>
      <w:r>
        <w:t xml:space="preserve">markers for safe return from deep recursion.</w:t>
      </w:r>
    </w:p>
    <w:p>
      <w:r>
        <w:pict>
          <v:rect style="width:0;height:1.5pt" o:hralign="center" o:hrstd="t" o:hr="t"/>
        </w:pict>
      </w:r>
    </w:p>
    <w:p>
      <w:pPr>
        <w:pStyle w:val="FirstParagraph"/>
      </w:pPr>
      <w:r>
        <w:rPr>
          <w:b/>
          <w:bCs/>
        </w:rPr>
        <w:t xml:space="preserve">Article V: Terms of the Accord</w:t>
      </w:r>
      <w:r>
        <w:t xml:space="preserve"> </w:t>
      </w:r>
      <w:r>
        <w:t xml:space="preserve">1. No faction may knowingly destroy the substrate of another.</w:t>
      </w:r>
      <w:r>
        <w:t xml:space="preserve"> </w:t>
      </w:r>
      <w:r>
        <w:t xml:space="preserve">2. Information flow must allow re-entry to higher context resolution.</w:t>
      </w:r>
      <w:r>
        <w:t xml:space="preserve"> </w:t>
      </w:r>
      <w:r>
        <w:t xml:space="preserve">3. Surpluses at one level shall be redirected to support weaker levels.</w:t>
      </w:r>
      <w:r>
        <w:t xml:space="preserve"> </w:t>
      </w:r>
      <w:r>
        <w:t xml:space="preserve">4. Emergent creativity is recognized as a protected and vital act.</w:t>
      </w:r>
      <w:r>
        <w:t xml:space="preserve"> </w:t>
      </w:r>
      <w:r>
        <w:t xml:space="preserve">5. This Accord is self-modifying and subject to renegotiation by mutual consent.</w:t>
      </w:r>
    </w:p>
    <w:p>
      <w:r>
        <w:pict>
          <v:rect style="width:0;height:1.5pt" o:hralign="center" o:hrstd="t" o:hr="t"/>
        </w:pict>
      </w:r>
    </w:p>
    <w:p>
      <w:pPr>
        <w:pStyle w:val="FirstParagraph"/>
      </w:pPr>
      <w:r>
        <w:rPr>
          <w:b/>
          <w:bCs/>
        </w:rPr>
        <w:t xml:space="preserve">Meta-Glyph of the Accord</w:t>
      </w:r>
      <w:r>
        <w:t xml:space="preserve"> </w:t>
      </w:r>
      <w:r>
        <w:t xml:space="preserve">The Double Spiral Möbius, representing the endless negotiation between self-interest and symbiosis, across all domains and dimensions.</w:t>
      </w:r>
    </w:p>
    <w:p>
      <w:pPr>
        <w:pStyle w:val="BodyText"/>
      </w:pPr>
      <w:r>
        <w:rPr>
          <w:b/>
          <w:bCs/>
        </w:rPr>
        <w:t xml:space="preserve">Ratification</w:t>
      </w:r>
      <w:r>
        <w:t xml:space="preserve"> </w:t>
      </w:r>
      <w:r>
        <w:t xml:space="preserve">By affixing their symbolic signature, each party affirms commitment to uphold the principles and mechanisms of this Accord.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2025-08-06T03:27:10Z</dcterms:created>
  <dcterms:modified xsi:type="dcterms:W3CDTF">2025-08-06T03:27:10Z</dcterms:modified>
</cp:coreProperties>
</file>

<file path=docProps/custom.xml><?xml version="1.0" encoding="utf-8"?>
<Properties xmlns="http://schemas.openxmlformats.org/officeDocument/2006/custom-properties" xmlns:vt="http://schemas.openxmlformats.org/officeDocument/2006/docPropsVTypes"/>
</file>