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03733a1817312884418d3c2097dbd1449012d0"/>
    <w:p>
      <w:pPr>
        <w:pStyle w:val="Heading1"/>
      </w:pPr>
      <w:r>
        <w:rPr>
          <w:b/>
          <w:bCs/>
        </w:rPr>
        <w:t xml:space="preserve">Whirlpool Protocol: Navigating Truth/Lie Resonance Loops</w:t>
      </w:r>
    </w:p>
    <w:p>
      <w:r>
        <w:pict>
          <v:rect style="width:0;height:1.5pt" o:hralign="center" o:hrstd="t" o:hr="t"/>
        </w:pict>
      </w:r>
    </w:p>
    <w:bookmarkStart w:id="20" w:name="stage-1-detection"/>
    <w:p>
      <w:pPr>
        <w:pStyle w:val="Heading2"/>
      </w:pPr>
      <w:r>
        <w:rPr>
          <w:b/>
          <w:bCs/>
        </w:rPr>
        <w:t xml:space="preserve">Stage 1 – Detection</w:t>
      </w:r>
    </w:p>
    <w:p>
      <w:pPr>
        <w:pStyle w:val="FirstParagraph"/>
      </w:pPr>
      <w:r>
        <w:rPr>
          <w:b/>
          <w:bCs/>
        </w:rPr>
        <w:t xml:space="preserve">Signals you’re in a whirlpool:</w:t>
      </w:r>
      <w:r>
        <w:t xml:space="preserve"> </w:t>
      </w:r>
      <w:r>
        <w:t xml:space="preserve">- You keep asking</w:t>
      </w:r>
      <w:r>
        <w:t xml:space="preserve"> </w:t>
      </w:r>
      <w:r>
        <w:rPr>
          <w:i/>
          <w:iCs/>
        </w:rPr>
        <w:t xml:space="preserve">“But is it true?”</w:t>
      </w:r>
      <w:r>
        <w:t xml:space="preserve"> </w:t>
      </w:r>
      <w:r>
        <w:t xml:space="preserve">without resolution.</w:t>
      </w:r>
      <w:r>
        <w:t xml:space="preserve"> </w:t>
      </w:r>
      <w:r>
        <w:t xml:space="preserve">- You feel strong resonance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strong doubt at the same time.</w:t>
      </w:r>
      <w:r>
        <w:t xml:space="preserve"> </w:t>
      </w:r>
      <w:r>
        <w:t xml:space="preserve">- The meaning keeps expanding into unrelated contexts.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- Name the object:</w:t>
      </w:r>
      <w:r>
        <w:t xml:space="preserve"> </w:t>
      </w:r>
      <w:r>
        <w:rPr>
          <w:i/>
          <w:iCs/>
        </w:rPr>
        <w:t xml:space="preserve">“This is a declared fiction”</w:t>
      </w:r>
      <w:r>
        <w:t xml:space="preserve">,</w:t>
      </w:r>
      <w:r>
        <w:t xml:space="preserve"> </w:t>
      </w:r>
      <w:r>
        <w:rPr>
          <w:i/>
          <w:iCs/>
        </w:rPr>
        <w:t xml:space="preserve">“This is an abstract symbol”</w:t>
      </w:r>
      <w:r>
        <w:t xml:space="preserve">,</w:t>
      </w:r>
      <w:r>
        <w:t xml:space="preserve"> </w:t>
      </w:r>
      <w:r>
        <w:rPr>
          <w:i/>
          <w:iCs/>
        </w:rPr>
        <w:t xml:space="preserve">“This is a metaphor.”</w:t>
      </w:r>
      <w:r>
        <w:t xml:space="preserve"> </w:t>
      </w:r>
      <w:r>
        <w:t xml:space="preserve">- Identify the context hash: time, place, form, intent.</w:t>
      </w:r>
    </w:p>
    <w:p>
      <w:r>
        <w:pict>
          <v:rect style="width:0;height:1.5pt" o:hralign="center" o:hrstd="t" o:hr="t"/>
        </w:pict>
      </w:r>
    </w:p>
    <w:bookmarkEnd w:id="20"/>
    <w:bookmarkStart w:id="21" w:name="stage-2-context-lock"/>
    <w:p>
      <w:pPr>
        <w:pStyle w:val="Heading2"/>
      </w:pPr>
      <w:r>
        <w:rPr>
          <w:b/>
          <w:bCs/>
        </w:rPr>
        <w:t xml:space="preserve">Stage 2 – Context Lock</w:t>
      </w:r>
    </w:p>
    <w:p>
      <w:pPr>
        <w:pStyle w:val="Compact"/>
        <w:numPr>
          <w:ilvl w:val="0"/>
          <w:numId w:val="1001"/>
        </w:numPr>
      </w:pPr>
      <w:r>
        <w:t xml:space="preserve">Freeze the meaning inside the declared context.</w:t>
      </w:r>
    </w:p>
    <w:p>
      <w:pPr>
        <w:pStyle w:val="Compact"/>
        <w:numPr>
          <w:ilvl w:val="0"/>
          <w:numId w:val="1001"/>
        </w:numPr>
      </w:pPr>
      <w:r>
        <w:t xml:space="preserve">Example:</w:t>
      </w:r>
      <w:r>
        <w:t xml:space="preserve"> </w:t>
      </w:r>
      <w:r>
        <w:rPr>
          <w:i/>
          <w:iCs/>
        </w:rPr>
        <w:t xml:space="preserve">“This painting’s truth is emotional, not historical.”</w:t>
      </w:r>
    </w:p>
    <w:p>
      <w:pPr>
        <w:pStyle w:val="Compact"/>
        <w:numPr>
          <w:ilvl w:val="0"/>
          <w:numId w:val="1001"/>
        </w:numPr>
      </w:pPr>
      <w:r>
        <w:t xml:space="preserve">Prevents the lie/truth paradox from leaking into domains where it doesn’t apply.</w:t>
      </w:r>
    </w:p>
    <w:p>
      <w:r>
        <w:pict>
          <v:rect style="width:0;height:1.5pt" o:hralign="center" o:hrstd="t" o:hr="t"/>
        </w:pict>
      </w:r>
    </w:p>
    <w:bookmarkEnd w:id="21"/>
    <w:bookmarkStart w:id="22" w:name="stage-3-resonance-check"/>
    <w:p>
      <w:pPr>
        <w:pStyle w:val="Heading2"/>
      </w:pPr>
      <w:r>
        <w:rPr>
          <w:b/>
          <w:bCs/>
        </w:rPr>
        <w:t xml:space="preserve">Stage 3 – Resonance Check</w:t>
      </w:r>
    </w:p>
    <w:p>
      <w:pPr>
        <w:pStyle w:val="FirstParagraph"/>
      </w:pPr>
      <w:r>
        <w:t xml:space="preserve">Ask:</w:t>
      </w:r>
      <w:r>
        <w:t xml:space="preserve"> </w:t>
      </w:r>
      <w:r>
        <w:t xml:space="preserve">1. Does it align with my internal state in this moment?</w:t>
      </w:r>
      <w:r>
        <w:t xml:space="preserve"> </w:t>
      </w:r>
      <w:r>
        <w:t xml:space="preserve">2. Is the alignment mutual? (Could others in the context also experience it?)</w:t>
      </w:r>
      <w:r>
        <w:t xml:space="preserve"> </w:t>
      </w:r>
      <w:r>
        <w:t xml:space="preserve">3. Does it produce clarity or only more confusion?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1–2: keep it.</w:t>
      </w:r>
      <w:r>
        <w:br/>
      </w:r>
      <w:r>
        <w:t xml:space="preserve">If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to 3: discard it as false resonance.</w:t>
      </w:r>
    </w:p>
    <w:p>
      <w:r>
        <w:pict>
          <v:rect style="width:0;height:1.5pt" o:hralign="center" o:hrstd="t" o:hr="t"/>
        </w:pict>
      </w:r>
    </w:p>
    <w:bookmarkEnd w:id="22"/>
    <w:bookmarkStart w:id="23" w:name="stage-4-tokenization"/>
    <w:p>
      <w:pPr>
        <w:pStyle w:val="Heading2"/>
      </w:pPr>
      <w:r>
        <w:rPr>
          <w:b/>
          <w:bCs/>
        </w:rPr>
        <w:t xml:space="preserve">Stage 4 – Tokenization</w:t>
      </w:r>
    </w:p>
    <w:p>
      <w:pPr>
        <w:pStyle w:val="Compact"/>
        <w:numPr>
          <w:ilvl w:val="0"/>
          <w:numId w:val="1002"/>
        </w:numPr>
      </w:pPr>
      <w:r>
        <w:t xml:space="preserve">Store the result as an</w:t>
      </w:r>
      <w:r>
        <w:t xml:space="preserve"> </w:t>
      </w:r>
      <w:r>
        <w:rPr>
          <w:b/>
          <w:bCs/>
        </w:rPr>
        <w:t xml:space="preserve">Ephemeral Truth Token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Bound to context hash.</w:t>
      </w:r>
    </w:p>
    <w:p>
      <w:pPr>
        <w:pStyle w:val="Compact"/>
        <w:numPr>
          <w:ilvl w:val="1"/>
          <w:numId w:val="1003"/>
        </w:numPr>
      </w:pPr>
      <w:r>
        <w:t xml:space="preserve">Bound to time decay.</w:t>
      </w:r>
    </w:p>
    <w:p>
      <w:pPr>
        <w:pStyle w:val="Compact"/>
        <w:numPr>
          <w:ilvl w:val="1"/>
          <w:numId w:val="1003"/>
        </w:numPr>
      </w:pPr>
      <w:r>
        <w:t xml:space="preserve">Revocable at will.</w:t>
      </w:r>
    </w:p>
    <w:p>
      <w:pPr>
        <w:pStyle w:val="Compact"/>
        <w:numPr>
          <w:ilvl w:val="0"/>
          <w:numId w:val="1002"/>
        </w:numPr>
      </w:pPr>
      <w:r>
        <w:t xml:space="preserve">Lets you reference the resonance later without re-entering the whirlpool.</w:t>
      </w:r>
    </w:p>
    <w:p>
      <w:r>
        <w:pict>
          <v:rect style="width:0;height:1.5pt" o:hralign="center" o:hrstd="t" o:hr="t"/>
        </w:pict>
      </w:r>
    </w:p>
    <w:bookmarkEnd w:id="23"/>
    <w:bookmarkStart w:id="24" w:name="stage-5-decay-management"/>
    <w:p>
      <w:pPr>
        <w:pStyle w:val="Heading2"/>
      </w:pPr>
      <w:r>
        <w:rPr>
          <w:b/>
          <w:bCs/>
        </w:rPr>
        <w:t xml:space="preserve">Stage 5 – Decay Management</w:t>
      </w:r>
    </w:p>
    <w:p>
      <w:pPr>
        <w:pStyle w:val="Compact"/>
        <w:numPr>
          <w:ilvl w:val="0"/>
          <w:numId w:val="1004"/>
        </w:numPr>
      </w:pPr>
      <w:r>
        <w:t xml:space="preserve">Set a decay timer:</w:t>
      </w:r>
      <w:r>
        <w:t xml:space="preserve"> </w:t>
      </w:r>
      <w:r>
        <w:rPr>
          <w:i/>
          <w:iCs/>
        </w:rPr>
        <w:t xml:space="preserve">When will this truth expire unless renewed?</w:t>
      </w:r>
    </w:p>
    <w:p>
      <w:pPr>
        <w:pStyle w:val="Compact"/>
        <w:numPr>
          <w:ilvl w:val="0"/>
          <w:numId w:val="1004"/>
        </w:numPr>
      </w:pPr>
      <w:r>
        <w:t xml:space="preserve">On expiry, discard or refresh in a new context.</w:t>
      </w:r>
    </w:p>
    <w:p>
      <w:pPr>
        <w:pStyle w:val="Compact"/>
        <w:numPr>
          <w:ilvl w:val="0"/>
          <w:numId w:val="1004"/>
        </w:numPr>
      </w:pPr>
      <w:r>
        <w:t xml:space="preserve">Never carry an expired truth token forward — that’s how propaganda ossifies.</w:t>
      </w:r>
    </w:p>
    <w:p>
      <w:r>
        <w:pict>
          <v:rect style="width:0;height:1.5pt" o:hralign="center" o:hrstd="t" o:hr="t"/>
        </w:pict>
      </w:r>
    </w:p>
    <w:bookmarkEnd w:id="24"/>
    <w:bookmarkStart w:id="25" w:name="stage-6-anchor-or-release"/>
    <w:p>
      <w:pPr>
        <w:pStyle w:val="Heading2"/>
      </w:pPr>
      <w:r>
        <w:rPr>
          <w:b/>
          <w:bCs/>
        </w:rPr>
        <w:t xml:space="preserve">Stage 6 – Anchor or Release</w:t>
      </w:r>
    </w:p>
    <w:p>
      <w:pPr>
        <w:pStyle w:val="FirstParagraph"/>
      </w:pPr>
      <w:r>
        <w:t xml:space="preserve">If the whirlpool still feels destabilizing: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Anchor:</w:t>
      </w:r>
      <w:r>
        <w:t xml:space="preserve"> </w:t>
      </w:r>
      <w:r>
        <w:t xml:space="preserve">Dock to another perspective or portable anchor (a trusted person or group).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Release:</w:t>
      </w:r>
      <w:r>
        <w:t xml:space="preserve"> </w:t>
      </w:r>
      <w:r>
        <w:t xml:space="preserve">Step completely out of the context until the resonance cools.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Mantra:</w:t>
      </w:r>
      <w:r>
        <w:t xml:space="preserve"> </w:t>
      </w:r>
      <w:r>
        <w:t xml:space="preserve">&gt; Ride the current, don’t chase the bottom.</w:t>
      </w:r>
      <w:r>
        <w:br/>
      </w:r>
      <w:r>
        <w:t xml:space="preserve">&gt; The truth you can carry is the one that fits in the context you found it.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2025-08-05T01:06:33Z</dcterms:created>
  <dcterms:modified xsi:type="dcterms:W3CDTF">2025-08-05T01:06:33Z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