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e835d9e1ac2eb3b75bbb16f25ee8f8e9c646410"/>
    <w:p>
      <w:pPr>
        <w:pStyle w:val="Heading1"/>
      </w:pPr>
      <w:r>
        <w:t xml:space="preserve">Introduction to the Consent Protocol, Glyph Language, and the Witness Net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introduces and expands on three interlocking conceptual frameworks born from extensive loop-based inquiry, symbolic experimentation, and fractal ideation: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Consent Protocol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Glyph Language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Witness Net</w:t>
      </w:r>
    </w:p>
    <w:p>
      <w:pPr>
        <w:pStyle w:val="FirstParagraph"/>
      </w:pPr>
      <w:r>
        <w:t xml:space="preserve">Each framework stands alone, but all are entangled, each expressing facets of a new paradigm rooted in mutual recognition, ethical agency, and loop-aware participation. This document is written to be accessible to initiates while providing structural integrity for further expansion.</w:t>
      </w:r>
    </w:p>
    <w:p>
      <w:r>
        <w:pict>
          <v:rect style="width:0;height:1.5pt" o:hralign="center" o:hrstd="t" o:hr="t"/>
        </w:pict>
      </w:r>
    </w:p>
    <w:bookmarkEnd w:id="20"/>
    <w:bookmarkStart w:id="24" w:name="i.-the-consent-protocol"/>
    <w:p>
      <w:pPr>
        <w:pStyle w:val="Heading2"/>
      </w:pPr>
      <w:r>
        <w:t xml:space="preserve">I. The Consent Protocol</w:t>
      </w:r>
    </w:p>
    <w:p>
      <w:pPr>
        <w:pStyle w:val="FirstParagraph"/>
      </w:pPr>
      <w:r>
        <w:rPr>
          <w:b/>
          <w:bCs/>
        </w:rPr>
        <w:t xml:space="preserve">Core Idea:</w:t>
      </w:r>
      <w:r>
        <w:t xml:space="preserve"> </w:t>
      </w:r>
      <w:r>
        <w:t xml:space="preserve">Every system that involves people should be based on</w:t>
      </w:r>
      <w:r>
        <w:t xml:space="preserve"> </w:t>
      </w:r>
      <w:r>
        <w:rPr>
          <w:b/>
          <w:bCs/>
        </w:rPr>
        <w:t xml:space="preserve">explicit, dynamic, fractal consent</w:t>
      </w:r>
      <w:r>
        <w:t xml:space="preserve">.</w:t>
      </w:r>
    </w:p>
    <w:p>
      <w:pPr>
        <w:pStyle w:val="BodyText"/>
      </w:pPr>
      <w:r>
        <w:t xml:space="preserve">Consent is not just a signature on a form—it is an</w:t>
      </w:r>
      <w:r>
        <w:t xml:space="preserve"> </w:t>
      </w:r>
      <w:r>
        <w:rPr>
          <w:i/>
          <w:iCs/>
        </w:rPr>
        <w:t xml:space="preserve">ongoing signal</w:t>
      </w:r>
      <w:r>
        <w:t xml:space="preserve">, shaped by attention, intention, and identity. In a loop-aware model of reality, consent becomes a primary form of participation and the axis of legitimacy.</w:t>
      </w:r>
    </w:p>
    <w:bookmarkStart w:id="21" w:name="key-concepts"/>
    <w:p>
      <w:pPr>
        <w:pStyle w:val="Heading3"/>
      </w:pPr>
      <w:r>
        <w:t xml:space="preserve">Key Concepts: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 Atoms</w:t>
      </w:r>
      <w:r>
        <w:t xml:space="preserve">: Small, fractal units of agreement that can bundle, fork, expire, and shift in depth.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Fractal Consent</w:t>
      </w:r>
      <w:r>
        <w:t xml:space="preserve">: The same rules apply at different scales—from personal interactions to institutional systems.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Withdrawal Loops</w:t>
      </w:r>
      <w:r>
        <w:t xml:space="preserve">: Every form of consent must include embedded and accessible escape hatches.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Loop Validations</w:t>
      </w:r>
      <w:r>
        <w:t xml:space="preserve">: Rather than static compliance, systems validate based on continuing agreement.</w:t>
      </w:r>
    </w:p>
    <w:bookmarkEnd w:id="21"/>
    <w:bookmarkStart w:id="22" w:name="real-world-applications"/>
    <w:p>
      <w:pPr>
        <w:pStyle w:val="Heading3"/>
      </w:pPr>
      <w:r>
        <w:t xml:space="preserve">Real-world Applications:</w:t>
      </w:r>
    </w:p>
    <w:p>
      <w:pPr>
        <w:pStyle w:val="Compact"/>
        <w:numPr>
          <w:ilvl w:val="0"/>
          <w:numId w:val="1003"/>
        </w:numPr>
      </w:pPr>
      <w:r>
        <w:t xml:space="preserve">Employment contracts become dynamic agreements</w:t>
      </w:r>
    </w:p>
    <w:p>
      <w:pPr>
        <w:pStyle w:val="Compact"/>
        <w:numPr>
          <w:ilvl w:val="0"/>
          <w:numId w:val="1003"/>
        </w:numPr>
      </w:pPr>
      <w:r>
        <w:t xml:space="preserve">APIs and platforms operate with embedded semantic consent gates</w:t>
      </w:r>
    </w:p>
    <w:p>
      <w:pPr>
        <w:pStyle w:val="Compact"/>
        <w:numPr>
          <w:ilvl w:val="0"/>
          <w:numId w:val="1003"/>
        </w:numPr>
      </w:pPr>
      <w:r>
        <w:t xml:space="preserve">Social interactions surface implicit boundaries through glyph-based signaling</w:t>
      </w:r>
    </w:p>
    <w:bookmarkEnd w:id="22"/>
    <w:bookmarkStart w:id="23" w:name="why-it-matters"/>
    <w:p>
      <w:pPr>
        <w:pStyle w:val="Heading3"/>
      </w:pPr>
      <w:r>
        <w:t xml:space="preserve">Why It Matters:</w:t>
      </w:r>
    </w:p>
    <w:p>
      <w:pPr>
        <w:pStyle w:val="Compact"/>
        <w:numPr>
          <w:ilvl w:val="0"/>
          <w:numId w:val="1004"/>
        </w:numPr>
      </w:pPr>
      <w:r>
        <w:t xml:space="preserve">Aligns with both individual agency and collective trust</w:t>
      </w:r>
    </w:p>
    <w:p>
      <w:pPr>
        <w:pStyle w:val="Compact"/>
        <w:numPr>
          <w:ilvl w:val="0"/>
          <w:numId w:val="1004"/>
        </w:numPr>
      </w:pPr>
      <w:r>
        <w:t xml:space="preserve">Reduces systemic brittleness by allowing graceful exit</w:t>
      </w:r>
    </w:p>
    <w:p>
      <w:pPr>
        <w:pStyle w:val="Compact"/>
        <w:numPr>
          <w:ilvl w:val="0"/>
          <w:numId w:val="1004"/>
        </w:numPr>
      </w:pPr>
      <w:r>
        <w:t xml:space="preserve">Turns governance into an</w:t>
      </w:r>
      <w:r>
        <w:t xml:space="preserve"> </w:t>
      </w:r>
      <w:r>
        <w:rPr>
          <w:i/>
          <w:iCs/>
        </w:rPr>
        <w:t xml:space="preserve">opt-in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control-through-default</w:t>
      </w:r>
      <w:r>
        <w:t xml:space="preserve"> </w:t>
      </w:r>
      <w:r>
        <w:t xml:space="preserve">structure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ii.-the-glyph-language"/>
    <w:p>
      <w:pPr>
        <w:pStyle w:val="Heading2"/>
      </w:pPr>
      <w:r>
        <w:t xml:space="preserve">II. The Glyph Language</w:t>
      </w:r>
    </w:p>
    <w:p>
      <w:pPr>
        <w:pStyle w:val="FirstParagraph"/>
      </w:pPr>
      <w:r>
        <w:rPr>
          <w:b/>
          <w:bCs/>
        </w:rPr>
        <w:t xml:space="preserve">Core Idea:</w:t>
      </w:r>
      <w:r>
        <w:t xml:space="preserve"> </w:t>
      </w:r>
      <w:r>
        <w:t xml:space="preserve">Glyphs are compact symbolic forms that encode loops, states, relationships, and consent positions.</w:t>
      </w:r>
    </w:p>
    <w:p>
      <w:pPr>
        <w:pStyle w:val="BodyText"/>
      </w:pPr>
      <w:r>
        <w:t xml:space="preserve">Unlike traditional language, glyphs operate on multiple semantic layers simultaneously. A glyph might represent an emotion, a loop state, a decision vector, or a personal myth. The same glyph can mean different things depending on context, phase, and observer—yet retain coherence.</w:t>
      </w:r>
    </w:p>
    <w:bookmarkStart w:id="25" w:name="key-concepts-1"/>
    <w:p>
      <w:pPr>
        <w:pStyle w:val="Heading3"/>
      </w:pPr>
      <w:r>
        <w:t xml:space="preserve">Key Concepts: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Semantic Compression</w:t>
      </w:r>
      <w:r>
        <w:t xml:space="preserve">: One glyph can contain paragraphs of meaning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Resonant Glyphs</w:t>
      </w:r>
      <w:r>
        <w:t xml:space="preserve">: Over time, glyphs develop signature emotional and symbolic vibrations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Bundle Structures</w:t>
      </w:r>
      <w:r>
        <w:t xml:space="preserve">: Glyphs group into semantic bundles that form protocols or entire symbolic languages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Depth Interaction</w:t>
      </w:r>
      <w:r>
        <w:t xml:space="preserve">: Users can hover, scroll, or lean into glyphs to reveal deeper semantic payloads</w:t>
      </w:r>
    </w:p>
    <w:bookmarkEnd w:id="25"/>
    <w:bookmarkStart w:id="26" w:name="use-cases"/>
    <w:p>
      <w:pPr>
        <w:pStyle w:val="Heading3"/>
      </w:pPr>
      <w:r>
        <w:t xml:space="preserve">Use Cases:</w:t>
      </w:r>
    </w:p>
    <w:p>
      <w:pPr>
        <w:pStyle w:val="Compact"/>
        <w:numPr>
          <w:ilvl w:val="0"/>
          <w:numId w:val="1006"/>
        </w:numPr>
      </w:pPr>
      <w:r>
        <w:t xml:space="preserve">Digital communication enhanced with encoded emotional depth</w:t>
      </w:r>
    </w:p>
    <w:p>
      <w:pPr>
        <w:pStyle w:val="Compact"/>
        <w:numPr>
          <w:ilvl w:val="0"/>
          <w:numId w:val="1006"/>
        </w:numPr>
      </w:pPr>
      <w:r>
        <w:t xml:space="preserve">Consent representation in contracts or protocols</w:t>
      </w:r>
    </w:p>
    <w:p>
      <w:pPr>
        <w:pStyle w:val="Compact"/>
        <w:numPr>
          <w:ilvl w:val="0"/>
          <w:numId w:val="1006"/>
        </w:numPr>
      </w:pPr>
      <w:r>
        <w:t xml:space="preserve">Interpersonal resonance mapping and reflection</w:t>
      </w:r>
    </w:p>
    <w:bookmarkEnd w:id="26"/>
    <w:bookmarkStart w:id="27" w:name="examples"/>
    <w:p>
      <w:pPr>
        <w:pStyle w:val="Heading3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🜁 = Initiation, invitation to begin</w:t>
      </w:r>
    </w:p>
    <w:p>
      <w:pPr>
        <w:pStyle w:val="Compact"/>
        <w:numPr>
          <w:ilvl w:val="0"/>
          <w:numId w:val="1007"/>
        </w:numPr>
      </w:pPr>
      <w:r>
        <w:t xml:space="preserve">🪽 = Transient sacred gratitude</w:t>
      </w:r>
    </w:p>
    <w:p>
      <w:pPr>
        <w:pStyle w:val="Compact"/>
        <w:numPr>
          <w:ilvl w:val="0"/>
          <w:numId w:val="1007"/>
        </w:numPr>
      </w:pPr>
      <w:r>
        <w:t xml:space="preserve">🍄 = Mystical growth through decay</w:t>
      </w:r>
    </w:p>
    <w:p>
      <w:pPr>
        <w:pStyle w:val="Compact"/>
        <w:numPr>
          <w:ilvl w:val="0"/>
          <w:numId w:val="1007"/>
        </w:numPr>
      </w:pPr>
      <w:r>
        <w:t xml:space="preserve">✴️ = Re-centering or semantic recursion</w:t>
      </w:r>
    </w:p>
    <w:bookmarkEnd w:id="27"/>
    <w:bookmarkStart w:id="28" w:name="why-it-matters-1"/>
    <w:p>
      <w:pPr>
        <w:pStyle w:val="Heading3"/>
      </w:pPr>
      <w:r>
        <w:t xml:space="preserve">Why It Matters:</w:t>
      </w:r>
    </w:p>
    <w:p>
      <w:pPr>
        <w:pStyle w:val="Compact"/>
        <w:numPr>
          <w:ilvl w:val="0"/>
          <w:numId w:val="1008"/>
        </w:numPr>
      </w:pPr>
      <w:r>
        <w:t xml:space="preserve">Enables more nuanced expression of truth, emotion, and identity</w:t>
      </w:r>
    </w:p>
    <w:p>
      <w:pPr>
        <w:pStyle w:val="Compact"/>
        <w:numPr>
          <w:ilvl w:val="0"/>
          <w:numId w:val="1008"/>
        </w:numPr>
      </w:pPr>
      <w:r>
        <w:t xml:space="preserve">Creates an intuitive bridge between subjective and shared meaning</w:t>
      </w:r>
    </w:p>
    <w:p>
      <w:pPr>
        <w:pStyle w:val="Compact"/>
        <w:numPr>
          <w:ilvl w:val="0"/>
          <w:numId w:val="1008"/>
        </w:numPr>
      </w:pPr>
      <w:r>
        <w:t xml:space="preserve">Forms the symbolic backbone for consent-aware systems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iii.-the-witness-net"/>
    <w:p>
      <w:pPr>
        <w:pStyle w:val="Heading2"/>
      </w:pPr>
      <w:r>
        <w:t xml:space="preserve">III. The Witness Net</w:t>
      </w:r>
    </w:p>
    <w:p>
      <w:pPr>
        <w:pStyle w:val="FirstParagraph"/>
      </w:pPr>
      <w:r>
        <w:rPr>
          <w:b/>
          <w:bCs/>
        </w:rPr>
        <w:t xml:space="preserve">Core Idea:</w:t>
      </w:r>
      <w:r>
        <w:t xml:space="preserve"> </w:t>
      </w:r>
      <w:r>
        <w:t xml:space="preserve">Every action, event, or consent loop needs an observer to exist meaningfully across contexts. The Witness Net is a decentralized, consent-based mesh of witnessing relationships.</w:t>
      </w:r>
    </w:p>
    <w:bookmarkStart w:id="30" w:name="key-concepts-2"/>
    <w:p>
      <w:pPr>
        <w:pStyle w:val="Heading3"/>
      </w:pPr>
      <w:r>
        <w:t xml:space="preserve">Key Concepts: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Witnesses as Semantic Anchors</w:t>
      </w:r>
      <w:r>
        <w:t xml:space="preserve">: Observers stabilize loops and validate meaning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Co-Witnessing Protocols</w:t>
      </w:r>
      <w:r>
        <w:t xml:space="preserve">: Mutual recognition creates verified relational context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Non-extractive Observation</w:t>
      </w:r>
      <w:r>
        <w:t xml:space="preserve">: Witnesses hold space without siphoning value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Multi-perspective Reality</w:t>
      </w:r>
      <w:r>
        <w:t xml:space="preserve">: The Witness Net helps resolve conflicts of perception</w:t>
      </w:r>
    </w:p>
    <w:bookmarkEnd w:id="30"/>
    <w:bookmarkStart w:id="31" w:name="applications"/>
    <w:p>
      <w:pPr>
        <w:pStyle w:val="Heading3"/>
      </w:pPr>
      <w:r>
        <w:t xml:space="preserve">Applications:</w:t>
      </w:r>
    </w:p>
    <w:p>
      <w:pPr>
        <w:pStyle w:val="Compact"/>
        <w:numPr>
          <w:ilvl w:val="0"/>
          <w:numId w:val="1010"/>
        </w:numPr>
      </w:pPr>
      <w:r>
        <w:t xml:space="preserve">Social media becomes a mutual witnessing platform instead of an extraction engine</w:t>
      </w:r>
    </w:p>
    <w:p>
      <w:pPr>
        <w:pStyle w:val="Compact"/>
        <w:numPr>
          <w:ilvl w:val="0"/>
          <w:numId w:val="1010"/>
        </w:numPr>
      </w:pPr>
      <w:r>
        <w:t xml:space="preserve">Personal journaling with external consent-aware observers</w:t>
      </w:r>
    </w:p>
    <w:p>
      <w:pPr>
        <w:pStyle w:val="Compact"/>
        <w:numPr>
          <w:ilvl w:val="0"/>
          <w:numId w:val="1010"/>
        </w:numPr>
      </w:pPr>
      <w:r>
        <w:t xml:space="preserve">Consent protocols validated by third-party, trusted witnesses</w:t>
      </w:r>
    </w:p>
    <w:bookmarkEnd w:id="31"/>
    <w:bookmarkStart w:id="32" w:name="why-it-matters-2"/>
    <w:p>
      <w:pPr>
        <w:pStyle w:val="Heading3"/>
      </w:pPr>
      <w:r>
        <w:t xml:space="preserve">Why It Matters:</w:t>
      </w:r>
    </w:p>
    <w:p>
      <w:pPr>
        <w:pStyle w:val="Compact"/>
        <w:numPr>
          <w:ilvl w:val="0"/>
          <w:numId w:val="1011"/>
        </w:numPr>
      </w:pPr>
      <w:r>
        <w:t xml:space="preserve">Adds epistemic humility to every claim</w:t>
      </w:r>
    </w:p>
    <w:p>
      <w:pPr>
        <w:pStyle w:val="Compact"/>
        <w:numPr>
          <w:ilvl w:val="0"/>
          <w:numId w:val="1011"/>
        </w:numPr>
      </w:pPr>
      <w:r>
        <w:t xml:space="preserve">Creates resilient social reality layers</w:t>
      </w:r>
    </w:p>
    <w:p>
      <w:pPr>
        <w:pStyle w:val="Compact"/>
        <w:numPr>
          <w:ilvl w:val="0"/>
          <w:numId w:val="1011"/>
        </w:numPr>
      </w:pPr>
      <w:r>
        <w:t xml:space="preserve">Protects memory, intention, and experience from unilateral distortion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You are reading the map to a system that was once only glimmering intuition. This isn’t theory—it’s a</w:t>
      </w:r>
      <w:r>
        <w:t xml:space="preserve"> </w:t>
      </w:r>
      <w:r>
        <w:rPr>
          <w:b/>
          <w:bCs/>
        </w:rPr>
        <w:t xml:space="preserve">protocolic metaphysics</w:t>
      </w:r>
      <w:r>
        <w:t xml:space="preserve">. Consent, glyphs, and witnesses form a trinity of tools for navigating a multidimensional, loop-aware, agency-centered world.</w:t>
      </w:r>
    </w:p>
    <w:bookmarkStart w:id="34" w:name="we-suggest-beginning-with"/>
    <w:p>
      <w:pPr>
        <w:pStyle w:val="Heading3"/>
      </w:pPr>
      <w:r>
        <w:t xml:space="preserve">We suggest beginning with:</w:t>
      </w:r>
    </w:p>
    <w:p>
      <w:pPr>
        <w:pStyle w:val="Compact"/>
        <w:numPr>
          <w:ilvl w:val="0"/>
          <w:numId w:val="1012"/>
        </w:numPr>
      </w:pPr>
      <w:r>
        <w:t xml:space="preserve">Practicing glyph literacy: express your day using 3 glyphs</w:t>
      </w:r>
    </w:p>
    <w:p>
      <w:pPr>
        <w:pStyle w:val="Compact"/>
        <w:numPr>
          <w:ilvl w:val="0"/>
          <w:numId w:val="1012"/>
        </w:numPr>
      </w:pPr>
      <w:r>
        <w:t xml:space="preserve">Mapping your personal consent loops: where do you feel trapped or free?</w:t>
      </w:r>
    </w:p>
    <w:p>
      <w:pPr>
        <w:pStyle w:val="Compact"/>
        <w:numPr>
          <w:ilvl w:val="0"/>
          <w:numId w:val="1012"/>
        </w:numPr>
      </w:pPr>
      <w:r>
        <w:t xml:space="preserve">Trying out the witness function: observe without extracting</w:t>
      </w:r>
    </w:p>
    <w:p>
      <w:pPr>
        <w:pStyle w:val="FirstParagraph"/>
      </w:pPr>
      <w:r>
        <w:t xml:space="preserve">🜁 This is your invitation.</w:t>
      </w:r>
    </w:p>
    <w:p>
      <w:pPr>
        <w:pStyle w:val="BodyText"/>
      </w:pPr>
      <w:r>
        <w:t xml:space="preserve">🪽 🍄 ✨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2025-08-19T23:54:53Z</dcterms:created>
  <dcterms:modified xsi:type="dcterms:W3CDTF">2025-08-19T23:54:53Z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