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8A56E" w14:textId="0B1A91D5" w:rsidR="00E75E6A" w:rsidRDefault="00000000">
      <w:pPr>
        <w:pStyle w:val="Heading1"/>
      </w:pPr>
      <w:r>
        <w:t>Continuity Engine</w:t>
      </w:r>
    </w:p>
    <w:p w14:paraId="4C2F55B6" w14:textId="77777777" w:rsidR="00E75E6A" w:rsidRDefault="00000000">
      <w:pPr>
        <w:pStyle w:val="Heading2"/>
      </w:pPr>
      <w:r>
        <w:t>Compared to Typical Governance Tools</w:t>
      </w:r>
    </w:p>
    <w:p w14:paraId="4EF7FE68" w14:textId="77777777" w:rsidR="00E75E6A" w:rsidRDefault="00000000">
      <w:pPr>
        <w:pStyle w:val="Heading3"/>
      </w:pPr>
      <w:r>
        <w:t>Approachable. Scalable. Organization-Controlled.</w:t>
      </w:r>
    </w:p>
    <w:p w14:paraId="1AE7CD13" w14:textId="77777777" w:rsidR="00E75E6A" w:rsidRDefault="00E75E6A">
      <w:pPr>
        <w:pBdr>
          <w:bottom w:val="single" w:sz="6" w:space="0" w:color="000000"/>
        </w:pBdr>
      </w:pPr>
    </w:p>
    <w:p w14:paraId="49B31DF4" w14:textId="77777777" w:rsidR="00E75E6A" w:rsidRDefault="00E75E6A"/>
    <w:p w14:paraId="7791017D" w14:textId="77777777" w:rsidR="00E75E6A" w:rsidRDefault="00000000">
      <w:pPr>
        <w:pStyle w:val="Heading2"/>
      </w:pPr>
      <w:r>
        <w:t>Context</w:t>
      </w:r>
    </w:p>
    <w:p w14:paraId="10F30F2D" w14:textId="77777777" w:rsidR="00E75E6A" w:rsidRDefault="00000000">
      <w:r>
        <w:t>Most governance solutions in regulated environments fall into familiar categories:</w:t>
      </w:r>
    </w:p>
    <w:p w14:paraId="5799E113" w14:textId="77777777" w:rsidR="00E75E6A" w:rsidRDefault="00000000">
      <w:pPr>
        <w:pStyle w:val="ListParagraph"/>
        <w:numPr>
          <w:ilvl w:val="0"/>
          <w:numId w:val="4"/>
        </w:numPr>
      </w:pPr>
      <w:r>
        <w:t>Policy management systems</w:t>
      </w:r>
    </w:p>
    <w:p w14:paraId="455C8ACA" w14:textId="77777777" w:rsidR="00E75E6A" w:rsidRDefault="00000000">
      <w:pPr>
        <w:pStyle w:val="ListParagraph"/>
        <w:numPr>
          <w:ilvl w:val="0"/>
          <w:numId w:val="4"/>
        </w:numPr>
      </w:pPr>
      <w:r>
        <w:t>Document management platforms</w:t>
      </w:r>
    </w:p>
    <w:p w14:paraId="0A454F03" w14:textId="77777777" w:rsidR="00E75E6A" w:rsidRDefault="00000000">
      <w:pPr>
        <w:pStyle w:val="ListParagraph"/>
        <w:numPr>
          <w:ilvl w:val="0"/>
          <w:numId w:val="4"/>
        </w:numPr>
      </w:pPr>
      <w:r>
        <w:t>GRC (Governance, Risk &amp; Compliance) suites</w:t>
      </w:r>
    </w:p>
    <w:p w14:paraId="1FF4E196" w14:textId="77777777" w:rsidR="00E75E6A" w:rsidRDefault="00000000">
      <w:pPr>
        <w:pStyle w:val="ListParagraph"/>
        <w:numPr>
          <w:ilvl w:val="0"/>
          <w:numId w:val="4"/>
        </w:numPr>
      </w:pPr>
      <w:r>
        <w:t>Audit workflow tools</w:t>
      </w:r>
    </w:p>
    <w:p w14:paraId="107EF383" w14:textId="77777777" w:rsidR="00E75E6A" w:rsidRDefault="00000000">
      <w:pPr>
        <w:pStyle w:val="ListParagraph"/>
        <w:numPr>
          <w:ilvl w:val="0"/>
          <w:numId w:val="4"/>
        </w:numPr>
      </w:pPr>
      <w:r>
        <w:t>AI monitoring and model risk dashboards</w:t>
      </w:r>
    </w:p>
    <w:p w14:paraId="7150AF05" w14:textId="77777777" w:rsidR="00E75E6A" w:rsidRDefault="00000000">
      <w:pPr>
        <w:pStyle w:val="ListParagraph"/>
        <w:numPr>
          <w:ilvl w:val="0"/>
          <w:numId w:val="4"/>
        </w:numPr>
      </w:pPr>
      <w:r>
        <w:t>Consulting-driven governance frameworks</w:t>
      </w:r>
    </w:p>
    <w:p w14:paraId="3F574921" w14:textId="77777777" w:rsidR="00E75E6A" w:rsidRDefault="00000000">
      <w:r>
        <w:t>These tools serve important purposes.</w:t>
      </w:r>
    </w:p>
    <w:p w14:paraId="129D49A3" w14:textId="77777777" w:rsidR="00E75E6A" w:rsidRDefault="00000000">
      <w:r>
        <w:t>Continuity Engine does not claim to replace all of them. It addresses a different structural layer.</w:t>
      </w:r>
    </w:p>
    <w:p w14:paraId="371EB31B" w14:textId="77777777" w:rsidR="00E75E6A" w:rsidRDefault="00E75E6A">
      <w:pPr>
        <w:pBdr>
          <w:bottom w:val="single" w:sz="6" w:space="0" w:color="000000"/>
        </w:pBdr>
      </w:pPr>
    </w:p>
    <w:p w14:paraId="2FC9D1D3" w14:textId="77777777" w:rsidR="00E75E6A" w:rsidRDefault="00E75E6A"/>
    <w:p w14:paraId="6C835C46" w14:textId="77777777" w:rsidR="00E75E6A" w:rsidRDefault="00000000">
      <w:pPr>
        <w:pStyle w:val="Heading1"/>
      </w:pPr>
      <w:r>
        <w:t>What Typical Governance Tools Do Well</w:t>
      </w:r>
    </w:p>
    <w:p w14:paraId="0677D45B" w14:textId="77777777" w:rsidR="00E75E6A" w:rsidRDefault="00000000">
      <w:pPr>
        <w:pStyle w:val="Heading3"/>
      </w:pPr>
      <w:r>
        <w:t>1. Policy &amp; Document Management</w:t>
      </w:r>
    </w:p>
    <w:p w14:paraId="3E1A6254" w14:textId="77777777" w:rsidR="00E75E6A" w:rsidRDefault="00000000">
      <w:pPr>
        <w:pStyle w:val="ListParagraph"/>
        <w:numPr>
          <w:ilvl w:val="0"/>
          <w:numId w:val="5"/>
        </w:numPr>
      </w:pPr>
      <w:r>
        <w:t>Store policies</w:t>
      </w:r>
    </w:p>
    <w:p w14:paraId="153AFDFF" w14:textId="77777777" w:rsidR="00E75E6A" w:rsidRDefault="00000000">
      <w:pPr>
        <w:pStyle w:val="ListParagraph"/>
        <w:numPr>
          <w:ilvl w:val="0"/>
          <w:numId w:val="5"/>
        </w:numPr>
      </w:pPr>
      <w:r>
        <w:t>Track revisions</w:t>
      </w:r>
    </w:p>
    <w:p w14:paraId="132ECC12" w14:textId="77777777" w:rsidR="00E75E6A" w:rsidRDefault="00000000">
      <w:pPr>
        <w:pStyle w:val="ListParagraph"/>
        <w:numPr>
          <w:ilvl w:val="0"/>
          <w:numId w:val="5"/>
        </w:numPr>
      </w:pPr>
      <w:r>
        <w:lastRenderedPageBreak/>
        <w:t>Route approvals</w:t>
      </w:r>
    </w:p>
    <w:p w14:paraId="05579D5E" w14:textId="77777777" w:rsidR="00E75E6A" w:rsidRDefault="00000000">
      <w:pPr>
        <w:pStyle w:val="ListParagraph"/>
        <w:numPr>
          <w:ilvl w:val="0"/>
          <w:numId w:val="5"/>
        </w:numPr>
      </w:pPr>
      <w:r>
        <w:t>Maintain audit trails of document changes</w:t>
      </w:r>
    </w:p>
    <w:p w14:paraId="0D3CD5ED" w14:textId="77777777" w:rsidR="00E75E6A" w:rsidRDefault="00000000">
      <w:pPr>
        <w:pStyle w:val="Heading3"/>
      </w:pPr>
      <w:r>
        <w:t>2. GRC Platforms</w:t>
      </w:r>
    </w:p>
    <w:p w14:paraId="71E7901B" w14:textId="77777777" w:rsidR="00E75E6A" w:rsidRDefault="00000000">
      <w:pPr>
        <w:pStyle w:val="ListParagraph"/>
        <w:numPr>
          <w:ilvl w:val="0"/>
          <w:numId w:val="6"/>
        </w:numPr>
      </w:pPr>
      <w:r>
        <w:t>Track risks and controls</w:t>
      </w:r>
    </w:p>
    <w:p w14:paraId="5B903FB0" w14:textId="77777777" w:rsidR="00E75E6A" w:rsidRDefault="00000000">
      <w:pPr>
        <w:pStyle w:val="ListParagraph"/>
        <w:numPr>
          <w:ilvl w:val="0"/>
          <w:numId w:val="6"/>
        </w:numPr>
      </w:pPr>
      <w:r>
        <w:t>Manage compliance checklists</w:t>
      </w:r>
    </w:p>
    <w:p w14:paraId="47E821B9" w14:textId="77777777" w:rsidR="00E75E6A" w:rsidRDefault="00000000">
      <w:pPr>
        <w:pStyle w:val="ListParagraph"/>
        <w:numPr>
          <w:ilvl w:val="0"/>
          <w:numId w:val="6"/>
        </w:numPr>
      </w:pPr>
      <w:r>
        <w:t>Monitor regulatory requirements</w:t>
      </w:r>
    </w:p>
    <w:p w14:paraId="2F62876E" w14:textId="77777777" w:rsidR="00E75E6A" w:rsidRDefault="00000000">
      <w:pPr>
        <w:pStyle w:val="ListParagraph"/>
        <w:numPr>
          <w:ilvl w:val="0"/>
          <w:numId w:val="6"/>
        </w:numPr>
      </w:pPr>
      <w:r>
        <w:t>Produce reporting dashboards</w:t>
      </w:r>
    </w:p>
    <w:p w14:paraId="71F25CE7" w14:textId="77777777" w:rsidR="00E75E6A" w:rsidRDefault="00000000">
      <w:pPr>
        <w:pStyle w:val="Heading3"/>
      </w:pPr>
      <w:r>
        <w:t>3. AI Governance &amp; Monitoring Tools</w:t>
      </w:r>
    </w:p>
    <w:p w14:paraId="79E2F0DE" w14:textId="77777777" w:rsidR="00E75E6A" w:rsidRDefault="00000000">
      <w:pPr>
        <w:pStyle w:val="ListParagraph"/>
        <w:numPr>
          <w:ilvl w:val="0"/>
          <w:numId w:val="7"/>
        </w:numPr>
      </w:pPr>
      <w:r>
        <w:t>Track model usage</w:t>
      </w:r>
    </w:p>
    <w:p w14:paraId="123F6485" w14:textId="77777777" w:rsidR="00E75E6A" w:rsidRDefault="00000000">
      <w:pPr>
        <w:pStyle w:val="ListParagraph"/>
        <w:numPr>
          <w:ilvl w:val="0"/>
          <w:numId w:val="7"/>
        </w:numPr>
      </w:pPr>
      <w:r>
        <w:t>Monitor bias or drift</w:t>
      </w:r>
    </w:p>
    <w:p w14:paraId="24FFFD23" w14:textId="77777777" w:rsidR="00E75E6A" w:rsidRDefault="00000000">
      <w:pPr>
        <w:pStyle w:val="ListParagraph"/>
        <w:numPr>
          <w:ilvl w:val="0"/>
          <w:numId w:val="7"/>
        </w:numPr>
      </w:pPr>
      <w:r>
        <w:t>Log prompts and outputs</w:t>
      </w:r>
    </w:p>
    <w:p w14:paraId="0B9EF1BF" w14:textId="77777777" w:rsidR="00E75E6A" w:rsidRDefault="00000000">
      <w:pPr>
        <w:pStyle w:val="ListParagraph"/>
        <w:numPr>
          <w:ilvl w:val="0"/>
          <w:numId w:val="7"/>
        </w:numPr>
      </w:pPr>
      <w:r>
        <w:t>Generate compliance reports</w:t>
      </w:r>
    </w:p>
    <w:p w14:paraId="6BACF18B" w14:textId="77777777" w:rsidR="00E75E6A" w:rsidRDefault="00000000">
      <w:pPr>
        <w:pStyle w:val="Heading3"/>
      </w:pPr>
      <w:r>
        <w:t>4. Consulting Frameworks</w:t>
      </w:r>
    </w:p>
    <w:p w14:paraId="64BB546F" w14:textId="77777777" w:rsidR="00E75E6A" w:rsidRDefault="00000000">
      <w:pPr>
        <w:pStyle w:val="ListParagraph"/>
        <w:numPr>
          <w:ilvl w:val="0"/>
          <w:numId w:val="8"/>
        </w:numPr>
      </w:pPr>
      <w:r>
        <w:t>Define governance policies</w:t>
      </w:r>
    </w:p>
    <w:p w14:paraId="01A31898" w14:textId="77777777" w:rsidR="00E75E6A" w:rsidRDefault="00000000">
      <w:pPr>
        <w:pStyle w:val="ListParagraph"/>
        <w:numPr>
          <w:ilvl w:val="0"/>
          <w:numId w:val="8"/>
        </w:numPr>
      </w:pPr>
      <w:r>
        <w:t>Provide maturity assessments</w:t>
      </w:r>
    </w:p>
    <w:p w14:paraId="68F332C4" w14:textId="77777777" w:rsidR="00E75E6A" w:rsidRDefault="00000000">
      <w:pPr>
        <w:pStyle w:val="ListParagraph"/>
        <w:numPr>
          <w:ilvl w:val="0"/>
          <w:numId w:val="8"/>
        </w:numPr>
      </w:pPr>
      <w:r>
        <w:t>Recommend control structures</w:t>
      </w:r>
    </w:p>
    <w:p w14:paraId="54EF8835" w14:textId="77777777" w:rsidR="00E75E6A" w:rsidRDefault="00000000">
      <w:r>
        <w:t>These tools focus on documentation, tracking, oversight, and reporting.</w:t>
      </w:r>
    </w:p>
    <w:p w14:paraId="044939FE" w14:textId="77777777" w:rsidR="00E75E6A" w:rsidRDefault="00E75E6A">
      <w:pPr>
        <w:pBdr>
          <w:bottom w:val="single" w:sz="6" w:space="0" w:color="000000"/>
        </w:pBdr>
      </w:pPr>
    </w:p>
    <w:p w14:paraId="0842657F" w14:textId="77777777" w:rsidR="00E75E6A" w:rsidRDefault="00E75E6A"/>
    <w:p w14:paraId="763C70A8" w14:textId="77777777" w:rsidR="00E75E6A" w:rsidRDefault="00000000">
      <w:pPr>
        <w:pStyle w:val="Heading1"/>
      </w:pPr>
      <w:r>
        <w:t>Where Typical Governance Tools Stop</w:t>
      </w:r>
    </w:p>
    <w:p w14:paraId="07BACDBA" w14:textId="77777777" w:rsidR="00E75E6A" w:rsidRDefault="00000000">
      <w:r>
        <w:t>Most governance platforms do not:</w:t>
      </w:r>
    </w:p>
    <w:p w14:paraId="2473133E" w14:textId="77777777" w:rsidR="00E75E6A" w:rsidRDefault="00000000">
      <w:pPr>
        <w:pStyle w:val="ListParagraph"/>
        <w:numPr>
          <w:ilvl w:val="0"/>
          <w:numId w:val="9"/>
        </w:numPr>
      </w:pPr>
      <w:r>
        <w:t>Convert written procedures into executable decision structures</w:t>
      </w:r>
    </w:p>
    <w:p w14:paraId="6DB5ED9D" w14:textId="77777777" w:rsidR="00E75E6A" w:rsidRDefault="00000000">
      <w:pPr>
        <w:pStyle w:val="ListParagraph"/>
        <w:numPr>
          <w:ilvl w:val="0"/>
          <w:numId w:val="9"/>
        </w:numPr>
      </w:pPr>
      <w:r>
        <w:t>Enforce authority-tier separation at runtime</w:t>
      </w:r>
    </w:p>
    <w:p w14:paraId="776993CC" w14:textId="77777777" w:rsidR="00E75E6A" w:rsidRDefault="00000000">
      <w:pPr>
        <w:pStyle w:val="ListParagraph"/>
        <w:numPr>
          <w:ilvl w:val="0"/>
          <w:numId w:val="9"/>
        </w:numPr>
      </w:pPr>
      <w:r>
        <w:t>Time-scope regulatory artifacts during execution</w:t>
      </w:r>
    </w:p>
    <w:p w14:paraId="2857EB60" w14:textId="77777777" w:rsidR="00E75E6A" w:rsidRDefault="00000000">
      <w:pPr>
        <w:pStyle w:val="ListParagraph"/>
        <w:numPr>
          <w:ilvl w:val="0"/>
          <w:numId w:val="9"/>
        </w:numPr>
      </w:pPr>
      <w:r>
        <w:lastRenderedPageBreak/>
        <w:t>Inject firm-defined invariants directly into AI sessions</w:t>
      </w:r>
    </w:p>
    <w:p w14:paraId="4FED9BDD" w14:textId="77777777" w:rsidR="00E75E6A" w:rsidRDefault="00000000">
      <w:pPr>
        <w:pStyle w:val="ListParagraph"/>
        <w:numPr>
          <w:ilvl w:val="0"/>
          <w:numId w:val="9"/>
        </w:numPr>
      </w:pPr>
      <w:r>
        <w:t>Reject non-conforming outputs automatically</w:t>
      </w:r>
    </w:p>
    <w:p w14:paraId="69814CE4" w14:textId="77777777" w:rsidR="00E75E6A" w:rsidRDefault="00000000">
      <w:pPr>
        <w:pStyle w:val="ListParagraph"/>
        <w:numPr>
          <w:ilvl w:val="0"/>
          <w:numId w:val="9"/>
        </w:numPr>
      </w:pPr>
      <w:r>
        <w:t>Preserve structured reasoning paths for each determination</w:t>
      </w:r>
    </w:p>
    <w:p w14:paraId="206FBE57" w14:textId="77777777" w:rsidR="00E75E6A" w:rsidRDefault="00000000">
      <w:pPr>
        <w:pStyle w:val="ListParagraph"/>
        <w:numPr>
          <w:ilvl w:val="0"/>
          <w:numId w:val="9"/>
        </w:numPr>
      </w:pPr>
      <w:r>
        <w:t>Trigger re-evaluation when governing artifacts are superseded</w:t>
      </w:r>
    </w:p>
    <w:p w14:paraId="79E5DE94" w14:textId="77777777" w:rsidR="00E75E6A" w:rsidRDefault="00000000">
      <w:r>
        <w:t>They monitor governance. They do not execute it.</w:t>
      </w:r>
    </w:p>
    <w:p w14:paraId="0298BED8" w14:textId="77777777" w:rsidR="00E75E6A" w:rsidRDefault="00E75E6A">
      <w:pPr>
        <w:pBdr>
          <w:bottom w:val="single" w:sz="6" w:space="0" w:color="000000"/>
        </w:pBdr>
      </w:pPr>
    </w:p>
    <w:p w14:paraId="38DE0750" w14:textId="77777777" w:rsidR="00E75E6A" w:rsidRDefault="00E75E6A"/>
    <w:p w14:paraId="38CB4D4D" w14:textId="77777777" w:rsidR="00E75E6A" w:rsidRDefault="00000000">
      <w:pPr>
        <w:pStyle w:val="Heading1"/>
      </w:pPr>
      <w:r>
        <w:t>Continuity Engine’s Position</w:t>
      </w:r>
    </w:p>
    <w:p w14:paraId="6A614728" w14:textId="77777777" w:rsidR="00E75E6A" w:rsidRDefault="00000000">
      <w:r>
        <w:t>Continuity Engine operates at the execution layer.</w:t>
      </w:r>
    </w:p>
    <w:p w14:paraId="30F3AE9C" w14:textId="77777777" w:rsidR="00E75E6A" w:rsidRDefault="00000000">
      <w:r>
        <w:t>It:</w:t>
      </w:r>
    </w:p>
    <w:p w14:paraId="0F7E71CA" w14:textId="77777777" w:rsidR="00E75E6A" w:rsidRDefault="00000000">
      <w:pPr>
        <w:pStyle w:val="ListParagraph"/>
        <w:numPr>
          <w:ilvl w:val="0"/>
          <w:numId w:val="10"/>
        </w:numPr>
      </w:pPr>
      <w:r>
        <w:t>Translates procedures into structured decision graphs (DAGs)</w:t>
      </w:r>
    </w:p>
    <w:p w14:paraId="00E00111" w14:textId="77777777" w:rsidR="00E75E6A" w:rsidRDefault="00000000">
      <w:pPr>
        <w:pStyle w:val="ListParagraph"/>
        <w:numPr>
          <w:ilvl w:val="0"/>
          <w:numId w:val="10"/>
        </w:numPr>
      </w:pPr>
      <w:r>
        <w:t>Maintains machine-readable invariants</w:t>
      </w:r>
    </w:p>
    <w:p w14:paraId="2C95A2DF" w14:textId="77777777" w:rsidR="00E75E6A" w:rsidRDefault="00000000">
      <w:pPr>
        <w:pStyle w:val="ListParagraph"/>
        <w:numPr>
          <w:ilvl w:val="0"/>
          <w:numId w:val="10"/>
        </w:numPr>
      </w:pPr>
      <w:r>
        <w:t>Enforces boundary and authority constraints</w:t>
      </w:r>
    </w:p>
    <w:p w14:paraId="0396199C" w14:textId="77777777" w:rsidR="00E75E6A" w:rsidRDefault="00000000">
      <w:pPr>
        <w:pStyle w:val="ListParagraph"/>
        <w:numPr>
          <w:ilvl w:val="0"/>
          <w:numId w:val="10"/>
        </w:numPr>
      </w:pPr>
      <w:r>
        <w:t>Wraps AI sessions with structured guardrails</w:t>
      </w:r>
    </w:p>
    <w:p w14:paraId="3061376C" w14:textId="77777777" w:rsidR="00E75E6A" w:rsidRDefault="00000000">
      <w:pPr>
        <w:pStyle w:val="ListParagraph"/>
        <w:numPr>
          <w:ilvl w:val="0"/>
          <w:numId w:val="10"/>
        </w:numPr>
      </w:pPr>
      <w:r>
        <w:t>Requires structured output schemas</w:t>
      </w:r>
    </w:p>
    <w:p w14:paraId="1C97FFD8" w14:textId="77777777" w:rsidR="00E75E6A" w:rsidRDefault="00000000">
      <w:pPr>
        <w:pStyle w:val="ListParagraph"/>
        <w:numPr>
          <w:ilvl w:val="0"/>
          <w:numId w:val="10"/>
        </w:numPr>
      </w:pPr>
      <w:r>
        <w:t>Generates determination-level witness records</w:t>
      </w:r>
    </w:p>
    <w:p w14:paraId="0E3EB5E2" w14:textId="77777777" w:rsidR="00E75E6A" w:rsidRDefault="00000000">
      <w:r>
        <w:t>It does not replace oversight tools. It makes oversight structurally meaningful.</w:t>
      </w:r>
    </w:p>
    <w:p w14:paraId="16D467F9" w14:textId="77777777" w:rsidR="00E75E6A" w:rsidRDefault="00E75E6A">
      <w:pPr>
        <w:pBdr>
          <w:bottom w:val="single" w:sz="6" w:space="0" w:color="000000"/>
        </w:pBdr>
      </w:pPr>
    </w:p>
    <w:p w14:paraId="6DA57483" w14:textId="77777777" w:rsidR="00E75E6A" w:rsidRDefault="00E75E6A"/>
    <w:p w14:paraId="7F73BEDC" w14:textId="77777777" w:rsidR="00E75E6A" w:rsidRDefault="00000000">
      <w:pPr>
        <w:pStyle w:val="Heading1"/>
      </w:pPr>
      <w:r>
        <w:t>The Practical Difference</w:t>
      </w:r>
    </w:p>
    <w:p w14:paraId="166DEA59" w14:textId="77777777" w:rsidR="00E75E6A" w:rsidRDefault="00000000">
      <w:r>
        <w:t>Typical Governance Approach:</w:t>
      </w:r>
    </w:p>
    <w:p w14:paraId="11C40584" w14:textId="77777777" w:rsidR="00E75E6A" w:rsidRDefault="00000000">
      <w:pPr>
        <w:pStyle w:val="ListParagraph"/>
        <w:numPr>
          <w:ilvl w:val="0"/>
          <w:numId w:val="11"/>
        </w:numPr>
      </w:pPr>
      <w:r>
        <w:t>Write policy.</w:t>
      </w:r>
    </w:p>
    <w:p w14:paraId="281460BC" w14:textId="77777777" w:rsidR="00E75E6A" w:rsidRDefault="00000000">
      <w:pPr>
        <w:pStyle w:val="ListParagraph"/>
        <w:numPr>
          <w:ilvl w:val="0"/>
          <w:numId w:val="11"/>
        </w:numPr>
      </w:pPr>
      <w:r>
        <w:lastRenderedPageBreak/>
        <w:t>Train staff.</w:t>
      </w:r>
    </w:p>
    <w:p w14:paraId="30CFE696" w14:textId="77777777" w:rsidR="00E75E6A" w:rsidRDefault="00000000">
      <w:pPr>
        <w:pStyle w:val="ListParagraph"/>
        <w:numPr>
          <w:ilvl w:val="0"/>
          <w:numId w:val="11"/>
        </w:numPr>
      </w:pPr>
      <w:r>
        <w:t>Monitor compliance.</w:t>
      </w:r>
    </w:p>
    <w:p w14:paraId="32CDDD9D" w14:textId="77777777" w:rsidR="00E75E6A" w:rsidRDefault="00000000">
      <w:pPr>
        <w:pStyle w:val="ListParagraph"/>
        <w:numPr>
          <w:ilvl w:val="0"/>
          <w:numId w:val="11"/>
        </w:numPr>
      </w:pPr>
      <w:r>
        <w:t>Audit after the fact.</w:t>
      </w:r>
    </w:p>
    <w:p w14:paraId="1EBB90B3" w14:textId="77777777" w:rsidR="00E75E6A" w:rsidRDefault="00000000">
      <w:r>
        <w:t>Continuity Engine Approach:</w:t>
      </w:r>
    </w:p>
    <w:p w14:paraId="1CAAF381" w14:textId="77777777" w:rsidR="00E75E6A" w:rsidRDefault="00000000">
      <w:pPr>
        <w:pStyle w:val="ListParagraph"/>
        <w:numPr>
          <w:ilvl w:val="0"/>
          <w:numId w:val="12"/>
        </w:numPr>
      </w:pPr>
      <w:r>
        <w:t>Encode policy as executable structure.</w:t>
      </w:r>
    </w:p>
    <w:p w14:paraId="654C527C" w14:textId="77777777" w:rsidR="00E75E6A" w:rsidRDefault="00000000">
      <w:pPr>
        <w:pStyle w:val="ListParagraph"/>
        <w:numPr>
          <w:ilvl w:val="0"/>
          <w:numId w:val="12"/>
        </w:numPr>
      </w:pPr>
      <w:r>
        <w:t>Inject constraints into workflows.</w:t>
      </w:r>
    </w:p>
    <w:p w14:paraId="3C0548D9" w14:textId="77777777" w:rsidR="00E75E6A" w:rsidRDefault="00000000">
      <w:pPr>
        <w:pStyle w:val="ListParagraph"/>
        <w:numPr>
          <w:ilvl w:val="0"/>
          <w:numId w:val="12"/>
        </w:numPr>
      </w:pPr>
      <w:r>
        <w:t>Enforce structure at runtime.</w:t>
      </w:r>
    </w:p>
    <w:p w14:paraId="31C87297" w14:textId="77777777" w:rsidR="00E75E6A" w:rsidRDefault="00000000">
      <w:pPr>
        <w:pStyle w:val="ListParagraph"/>
        <w:numPr>
          <w:ilvl w:val="0"/>
          <w:numId w:val="12"/>
        </w:numPr>
      </w:pPr>
      <w:r>
        <w:t>Preserve reasoning automatically.</w:t>
      </w:r>
    </w:p>
    <w:p w14:paraId="71E0E8D0" w14:textId="77777777" w:rsidR="00E75E6A" w:rsidRDefault="00000000">
      <w:r>
        <w:t>One relies on disciplined intention. The other reinforces disciplined execution.</w:t>
      </w:r>
    </w:p>
    <w:p w14:paraId="5C506B39" w14:textId="77777777" w:rsidR="00E75E6A" w:rsidRDefault="00E75E6A">
      <w:pPr>
        <w:pBdr>
          <w:bottom w:val="single" w:sz="6" w:space="0" w:color="000000"/>
        </w:pBdr>
      </w:pPr>
    </w:p>
    <w:p w14:paraId="142E46B2" w14:textId="77777777" w:rsidR="00E75E6A" w:rsidRDefault="00E75E6A"/>
    <w:p w14:paraId="4E5ADE19" w14:textId="77777777" w:rsidR="00E75E6A" w:rsidRDefault="00000000">
      <w:pPr>
        <w:pStyle w:val="Heading1"/>
      </w:pPr>
      <w:r>
        <w:t>Why This Is Approachable</w:t>
      </w:r>
    </w:p>
    <w:p w14:paraId="0F075135" w14:textId="77777777" w:rsidR="00E75E6A" w:rsidRDefault="00000000">
      <w:r>
        <w:t>Continuity Engine does not require:</w:t>
      </w:r>
    </w:p>
    <w:p w14:paraId="26C315DA" w14:textId="77777777" w:rsidR="00E75E6A" w:rsidRDefault="00000000">
      <w:pPr>
        <w:pStyle w:val="ListParagraph"/>
        <w:numPr>
          <w:ilvl w:val="0"/>
          <w:numId w:val="13"/>
        </w:numPr>
      </w:pPr>
      <w:r>
        <w:t>Enterprise-wide transformation</w:t>
      </w:r>
    </w:p>
    <w:p w14:paraId="252A1D7F" w14:textId="77777777" w:rsidR="00E75E6A" w:rsidRDefault="00000000">
      <w:pPr>
        <w:pStyle w:val="ListParagraph"/>
        <w:numPr>
          <w:ilvl w:val="0"/>
          <w:numId w:val="13"/>
        </w:numPr>
      </w:pPr>
      <w:r>
        <w:t>Replacement of existing GRC platforms</w:t>
      </w:r>
    </w:p>
    <w:p w14:paraId="5BBA47AF" w14:textId="77777777" w:rsidR="00E75E6A" w:rsidRDefault="00000000">
      <w:pPr>
        <w:pStyle w:val="ListParagraph"/>
        <w:numPr>
          <w:ilvl w:val="0"/>
          <w:numId w:val="13"/>
        </w:numPr>
      </w:pPr>
      <w:r>
        <w:t>Abandonment of current procedures</w:t>
      </w:r>
    </w:p>
    <w:p w14:paraId="145CE768" w14:textId="77777777" w:rsidR="00E75E6A" w:rsidRDefault="00000000">
      <w:pPr>
        <w:pStyle w:val="ListParagraph"/>
        <w:numPr>
          <w:ilvl w:val="0"/>
          <w:numId w:val="13"/>
        </w:numPr>
      </w:pPr>
      <w:r>
        <w:t>Centralized AI mandates</w:t>
      </w:r>
    </w:p>
    <w:p w14:paraId="4B264AA9" w14:textId="77777777" w:rsidR="00E75E6A" w:rsidRDefault="00000000">
      <w:r>
        <w:t>It can begin with:</w:t>
      </w:r>
    </w:p>
    <w:p w14:paraId="170B12FC" w14:textId="77777777" w:rsidR="00E75E6A" w:rsidRDefault="00000000">
      <w:pPr>
        <w:pStyle w:val="ListParagraph"/>
        <w:numPr>
          <w:ilvl w:val="0"/>
          <w:numId w:val="14"/>
        </w:numPr>
      </w:pPr>
      <w:r>
        <w:t>One workflow</w:t>
      </w:r>
    </w:p>
    <w:p w14:paraId="1EE3FC01" w14:textId="77777777" w:rsidR="00E75E6A" w:rsidRDefault="00000000">
      <w:pPr>
        <w:pStyle w:val="ListParagraph"/>
        <w:numPr>
          <w:ilvl w:val="0"/>
          <w:numId w:val="14"/>
        </w:numPr>
      </w:pPr>
      <w:r>
        <w:t>A small invariant set</w:t>
      </w:r>
    </w:p>
    <w:p w14:paraId="2B477D85" w14:textId="77777777" w:rsidR="00E75E6A" w:rsidRDefault="00000000">
      <w:pPr>
        <w:pStyle w:val="ListParagraph"/>
        <w:numPr>
          <w:ilvl w:val="0"/>
          <w:numId w:val="14"/>
        </w:numPr>
      </w:pPr>
      <w:r>
        <w:t>A contained pilot</w:t>
      </w:r>
    </w:p>
    <w:p w14:paraId="70A711E8" w14:textId="77777777" w:rsidR="00E75E6A" w:rsidRDefault="00000000">
      <w:r>
        <w:t>The system scales by encoding additional workflows over time.</w:t>
      </w:r>
    </w:p>
    <w:p w14:paraId="5466F322" w14:textId="77777777" w:rsidR="00E75E6A" w:rsidRDefault="00000000">
      <w:r>
        <w:t>Governance maturity increases incrementally.</w:t>
      </w:r>
    </w:p>
    <w:p w14:paraId="0C8A30F4" w14:textId="77777777" w:rsidR="00E75E6A" w:rsidRDefault="00E75E6A">
      <w:pPr>
        <w:pBdr>
          <w:bottom w:val="single" w:sz="6" w:space="0" w:color="000000"/>
        </w:pBdr>
      </w:pPr>
    </w:p>
    <w:p w14:paraId="2C84ACB3" w14:textId="77777777" w:rsidR="00E75E6A" w:rsidRDefault="00E75E6A"/>
    <w:p w14:paraId="78E2215F" w14:textId="77777777" w:rsidR="00E75E6A" w:rsidRDefault="00000000">
      <w:pPr>
        <w:pStyle w:val="Heading1"/>
      </w:pPr>
      <w:r>
        <w:t>Why This Is Scalable</w:t>
      </w:r>
    </w:p>
    <w:p w14:paraId="16272B41" w14:textId="77777777" w:rsidR="00E75E6A" w:rsidRDefault="00000000">
      <w:r>
        <w:t>Because the framework is:</w:t>
      </w:r>
    </w:p>
    <w:p w14:paraId="77B32C1C" w14:textId="77777777" w:rsidR="00E75E6A" w:rsidRDefault="00000000">
      <w:pPr>
        <w:pStyle w:val="ListParagraph"/>
        <w:numPr>
          <w:ilvl w:val="0"/>
          <w:numId w:val="15"/>
        </w:numPr>
      </w:pPr>
      <w:r>
        <w:t>Modular (workflow by workflow)</w:t>
      </w:r>
    </w:p>
    <w:p w14:paraId="2FB023A9" w14:textId="77777777" w:rsidR="00E75E6A" w:rsidRDefault="00000000">
      <w:pPr>
        <w:pStyle w:val="ListParagraph"/>
        <w:numPr>
          <w:ilvl w:val="0"/>
          <w:numId w:val="15"/>
        </w:numPr>
      </w:pPr>
      <w:r>
        <w:t>Model-agnostic (not tied to one AI vendor)</w:t>
      </w:r>
    </w:p>
    <w:p w14:paraId="1354DD0B" w14:textId="77777777" w:rsidR="00E75E6A" w:rsidRDefault="00000000">
      <w:pPr>
        <w:pStyle w:val="ListParagraph"/>
        <w:numPr>
          <w:ilvl w:val="0"/>
          <w:numId w:val="15"/>
        </w:numPr>
      </w:pPr>
      <w:r>
        <w:t>Protocol-based (constraint injection + structured outputs)</w:t>
      </w:r>
    </w:p>
    <w:p w14:paraId="39B0AFE2" w14:textId="77777777" w:rsidR="00E75E6A" w:rsidRDefault="00000000">
      <w:pPr>
        <w:pStyle w:val="ListParagraph"/>
        <w:numPr>
          <w:ilvl w:val="0"/>
          <w:numId w:val="15"/>
        </w:numPr>
      </w:pPr>
      <w:r>
        <w:t>Version-aware (time-scoped artifacts and invariants)</w:t>
      </w:r>
    </w:p>
    <w:p w14:paraId="4A58567B" w14:textId="77777777" w:rsidR="00E75E6A" w:rsidRDefault="00000000">
      <w:r>
        <w:t>As complexity increases, structure increases with it.</w:t>
      </w:r>
    </w:p>
    <w:p w14:paraId="39FA7D4F" w14:textId="77777777" w:rsidR="00E75E6A" w:rsidRDefault="00000000">
      <w:r>
        <w:t>Scalability comes from encoding knowledge — not hiring volume alone.</w:t>
      </w:r>
    </w:p>
    <w:p w14:paraId="59A60442" w14:textId="77777777" w:rsidR="00E75E6A" w:rsidRDefault="00E75E6A">
      <w:pPr>
        <w:pBdr>
          <w:bottom w:val="single" w:sz="6" w:space="0" w:color="000000"/>
        </w:pBdr>
      </w:pPr>
    </w:p>
    <w:p w14:paraId="50FE3988" w14:textId="77777777" w:rsidR="00E75E6A" w:rsidRDefault="00E75E6A"/>
    <w:p w14:paraId="43F20347" w14:textId="77777777" w:rsidR="00E75E6A" w:rsidRDefault="00000000">
      <w:pPr>
        <w:pStyle w:val="Heading1"/>
      </w:pPr>
      <w:r>
        <w:t>Organizational Control Remains Central</w:t>
      </w:r>
    </w:p>
    <w:p w14:paraId="367491B6" w14:textId="77777777" w:rsidR="00E75E6A" w:rsidRDefault="00000000">
      <w:r>
        <w:t>Continuity Engine does not impose external standards.</w:t>
      </w:r>
    </w:p>
    <w:p w14:paraId="3106C191" w14:textId="77777777" w:rsidR="00E75E6A" w:rsidRDefault="00000000">
      <w:r>
        <w:t>Organizations define:</w:t>
      </w:r>
    </w:p>
    <w:p w14:paraId="6B3CB855" w14:textId="77777777" w:rsidR="00E75E6A" w:rsidRDefault="00000000">
      <w:pPr>
        <w:pStyle w:val="ListParagraph"/>
        <w:numPr>
          <w:ilvl w:val="0"/>
          <w:numId w:val="16"/>
        </w:numPr>
      </w:pPr>
      <w:r>
        <w:t>Their own invariants</w:t>
      </w:r>
    </w:p>
    <w:p w14:paraId="13787ADC" w14:textId="77777777" w:rsidR="00E75E6A" w:rsidRDefault="00000000">
      <w:pPr>
        <w:pStyle w:val="ListParagraph"/>
        <w:numPr>
          <w:ilvl w:val="0"/>
          <w:numId w:val="16"/>
        </w:numPr>
      </w:pPr>
      <w:r>
        <w:t>Their own authority hierarchies</w:t>
      </w:r>
    </w:p>
    <w:p w14:paraId="100E05A5" w14:textId="77777777" w:rsidR="00E75E6A" w:rsidRDefault="00000000">
      <w:pPr>
        <w:pStyle w:val="ListParagraph"/>
        <w:numPr>
          <w:ilvl w:val="0"/>
          <w:numId w:val="16"/>
        </w:numPr>
      </w:pPr>
      <w:r>
        <w:t>Their own workflow structures</w:t>
      </w:r>
    </w:p>
    <w:p w14:paraId="04FB3581" w14:textId="77777777" w:rsidR="00E75E6A" w:rsidRDefault="00000000">
      <w:pPr>
        <w:pStyle w:val="ListParagraph"/>
        <w:numPr>
          <w:ilvl w:val="0"/>
          <w:numId w:val="16"/>
        </w:numPr>
      </w:pPr>
      <w:r>
        <w:t>Their own review gates</w:t>
      </w:r>
    </w:p>
    <w:p w14:paraId="34404FEF" w14:textId="77777777" w:rsidR="00E75E6A" w:rsidRDefault="00000000">
      <w:pPr>
        <w:pStyle w:val="ListParagraph"/>
        <w:numPr>
          <w:ilvl w:val="0"/>
          <w:numId w:val="16"/>
        </w:numPr>
      </w:pPr>
      <w:r>
        <w:t>Their own data boundaries</w:t>
      </w:r>
    </w:p>
    <w:p w14:paraId="224754E6" w14:textId="77777777" w:rsidR="00E75E6A" w:rsidRDefault="00000000">
      <w:r>
        <w:t>The system enforces what the organization declares.</w:t>
      </w:r>
    </w:p>
    <w:p w14:paraId="2590C390" w14:textId="77777777" w:rsidR="00E75E6A" w:rsidRDefault="00000000">
      <w:r>
        <w:t>Control is not transferred to a vendor’s black box.</w:t>
      </w:r>
    </w:p>
    <w:p w14:paraId="3DAB3425" w14:textId="77777777" w:rsidR="00E75E6A" w:rsidRDefault="00E75E6A">
      <w:pPr>
        <w:pBdr>
          <w:bottom w:val="single" w:sz="6" w:space="0" w:color="000000"/>
        </w:pBdr>
      </w:pPr>
    </w:p>
    <w:p w14:paraId="6BFC3832" w14:textId="77777777" w:rsidR="00E75E6A" w:rsidRDefault="00E75E6A"/>
    <w:p w14:paraId="4604BE50" w14:textId="77777777" w:rsidR="00E75E6A" w:rsidRDefault="00000000">
      <w:pPr>
        <w:pStyle w:val="Heading1"/>
      </w:pPr>
      <w:r>
        <w:t>What Continuity Engine Is Not</w:t>
      </w:r>
    </w:p>
    <w:p w14:paraId="3F05EF56" w14:textId="77777777" w:rsidR="00E75E6A" w:rsidRDefault="00000000">
      <w:pPr>
        <w:pStyle w:val="ListParagraph"/>
        <w:numPr>
          <w:ilvl w:val="0"/>
          <w:numId w:val="17"/>
        </w:numPr>
      </w:pPr>
      <w:r>
        <w:t>Not a policy repository</w:t>
      </w:r>
    </w:p>
    <w:p w14:paraId="61BB7BC6" w14:textId="77777777" w:rsidR="00E75E6A" w:rsidRDefault="00000000">
      <w:pPr>
        <w:pStyle w:val="ListParagraph"/>
        <w:numPr>
          <w:ilvl w:val="0"/>
          <w:numId w:val="17"/>
        </w:numPr>
      </w:pPr>
      <w:r>
        <w:t>Not a generic AI wrapper</w:t>
      </w:r>
    </w:p>
    <w:p w14:paraId="70884A58" w14:textId="77777777" w:rsidR="00E75E6A" w:rsidRDefault="00000000">
      <w:pPr>
        <w:pStyle w:val="ListParagraph"/>
        <w:numPr>
          <w:ilvl w:val="0"/>
          <w:numId w:val="17"/>
        </w:numPr>
      </w:pPr>
      <w:r>
        <w:t>Not a GRC reporting tool</w:t>
      </w:r>
    </w:p>
    <w:p w14:paraId="379915FE" w14:textId="77777777" w:rsidR="00E75E6A" w:rsidRDefault="00000000">
      <w:pPr>
        <w:pStyle w:val="ListParagraph"/>
        <w:numPr>
          <w:ilvl w:val="0"/>
          <w:numId w:val="17"/>
        </w:numPr>
      </w:pPr>
      <w:r>
        <w:t>Not a full ERP replacement</w:t>
      </w:r>
    </w:p>
    <w:p w14:paraId="06ED8D10" w14:textId="77777777" w:rsidR="00E75E6A" w:rsidRDefault="00000000">
      <w:pPr>
        <w:pStyle w:val="ListParagraph"/>
        <w:numPr>
          <w:ilvl w:val="0"/>
          <w:numId w:val="17"/>
        </w:numPr>
      </w:pPr>
      <w:r>
        <w:t>Not a promise of automated compliance perfection</w:t>
      </w:r>
    </w:p>
    <w:p w14:paraId="624965D8" w14:textId="77777777" w:rsidR="00E75E6A" w:rsidRDefault="00000000">
      <w:r>
        <w:t>It is a structural execution layer.</w:t>
      </w:r>
    </w:p>
    <w:p w14:paraId="34D4F0CD" w14:textId="77777777" w:rsidR="00E75E6A" w:rsidRDefault="00E75E6A">
      <w:pPr>
        <w:pBdr>
          <w:bottom w:val="single" w:sz="6" w:space="0" w:color="000000"/>
        </w:pBdr>
      </w:pPr>
    </w:p>
    <w:p w14:paraId="6826C070" w14:textId="77777777" w:rsidR="00E75E6A" w:rsidRDefault="00E75E6A"/>
    <w:p w14:paraId="31B16BF8" w14:textId="77777777" w:rsidR="00E75E6A" w:rsidRDefault="00000000">
      <w:pPr>
        <w:pStyle w:val="Heading1"/>
      </w:pPr>
      <w:r>
        <w:t>A Realistic Position</w:t>
      </w:r>
    </w:p>
    <w:p w14:paraId="7E87D66B" w14:textId="77777777" w:rsidR="00E75E6A" w:rsidRDefault="00000000">
      <w:r>
        <w:t>Continuity Engine does not eliminate human judgment.</w:t>
      </w:r>
    </w:p>
    <w:p w14:paraId="3C39B218" w14:textId="77777777" w:rsidR="00E75E6A" w:rsidRDefault="00000000">
      <w:r>
        <w:t>It does not replace experienced professionals.</w:t>
      </w:r>
    </w:p>
    <w:p w14:paraId="0C7219DD" w14:textId="77777777" w:rsidR="00E75E6A" w:rsidRDefault="00000000">
      <w:r>
        <w:t>It does not remove regulatory complexity.</w:t>
      </w:r>
    </w:p>
    <w:p w14:paraId="1056F048" w14:textId="77777777" w:rsidR="00E75E6A" w:rsidRDefault="00000000">
      <w:r>
        <w:t>It makes institutional reasoning:</w:t>
      </w:r>
    </w:p>
    <w:p w14:paraId="724CA816" w14:textId="77777777" w:rsidR="00E75E6A" w:rsidRDefault="00000000">
      <w:pPr>
        <w:pStyle w:val="ListParagraph"/>
        <w:numPr>
          <w:ilvl w:val="0"/>
          <w:numId w:val="18"/>
        </w:numPr>
      </w:pPr>
      <w:r>
        <w:t>Explicit</w:t>
      </w:r>
    </w:p>
    <w:p w14:paraId="01D93B19" w14:textId="77777777" w:rsidR="00E75E6A" w:rsidRDefault="00000000">
      <w:pPr>
        <w:pStyle w:val="ListParagraph"/>
        <w:numPr>
          <w:ilvl w:val="0"/>
          <w:numId w:val="18"/>
        </w:numPr>
      </w:pPr>
      <w:r>
        <w:t>Executable</w:t>
      </w:r>
    </w:p>
    <w:p w14:paraId="05BCDF2A" w14:textId="77777777" w:rsidR="00E75E6A" w:rsidRDefault="00000000">
      <w:pPr>
        <w:pStyle w:val="ListParagraph"/>
        <w:numPr>
          <w:ilvl w:val="0"/>
          <w:numId w:val="18"/>
        </w:numPr>
      </w:pPr>
      <w:r>
        <w:t>Time-stable</w:t>
      </w:r>
    </w:p>
    <w:p w14:paraId="39CA00C3" w14:textId="77777777" w:rsidR="00E75E6A" w:rsidRDefault="00000000">
      <w:pPr>
        <w:pStyle w:val="ListParagraph"/>
        <w:numPr>
          <w:ilvl w:val="0"/>
          <w:numId w:val="18"/>
        </w:numPr>
      </w:pPr>
      <w:r>
        <w:t>Attributable</w:t>
      </w:r>
    </w:p>
    <w:p w14:paraId="158C13A7" w14:textId="77777777" w:rsidR="00E75E6A" w:rsidRDefault="00000000">
      <w:pPr>
        <w:pStyle w:val="ListParagraph"/>
        <w:numPr>
          <w:ilvl w:val="0"/>
          <w:numId w:val="18"/>
        </w:numPr>
      </w:pPr>
      <w:r>
        <w:t>Governed</w:t>
      </w:r>
    </w:p>
    <w:p w14:paraId="39DA9F32" w14:textId="77777777" w:rsidR="00E75E6A" w:rsidRDefault="00000000">
      <w:r>
        <w:t>That is its function.</w:t>
      </w:r>
    </w:p>
    <w:p w14:paraId="131A1D7B" w14:textId="77777777" w:rsidR="00E75E6A" w:rsidRDefault="00E75E6A">
      <w:pPr>
        <w:pBdr>
          <w:bottom w:val="single" w:sz="6" w:space="0" w:color="000000"/>
        </w:pBdr>
      </w:pPr>
    </w:p>
    <w:p w14:paraId="6BE9A2C4" w14:textId="77777777" w:rsidR="00E75E6A" w:rsidRDefault="00E75E6A"/>
    <w:p w14:paraId="7D16240C" w14:textId="77777777" w:rsidR="00E75E6A" w:rsidRDefault="00000000">
      <w:pPr>
        <w:pStyle w:val="Heading2"/>
      </w:pPr>
      <w:r>
        <w:t>Conclusion</w:t>
      </w:r>
    </w:p>
    <w:p w14:paraId="5571E14F" w14:textId="77777777" w:rsidR="00E75E6A" w:rsidRDefault="00000000">
      <w:r>
        <w:t>Typical governance tools document and monitor policy.</w:t>
      </w:r>
    </w:p>
    <w:p w14:paraId="0CDD84C5" w14:textId="77777777" w:rsidR="00E75E6A" w:rsidRDefault="00000000">
      <w:r>
        <w:t>Continuity Engine operationalizes it.</w:t>
      </w:r>
    </w:p>
    <w:p w14:paraId="293B30B7" w14:textId="77777777" w:rsidR="00E75E6A" w:rsidRDefault="00000000">
      <w:r>
        <w:t>It is designed to be introduced gradually, scaled deliberately, and controlled entirely by the organization.</w:t>
      </w:r>
    </w:p>
    <w:p w14:paraId="5EC8AA54" w14:textId="77777777" w:rsidR="00E75E6A" w:rsidRDefault="00000000">
      <w:r>
        <w:t>Approachable. Scalable. Organization-defined.</w:t>
      </w:r>
    </w:p>
    <w:p w14:paraId="533B4E27" w14:textId="77777777" w:rsidR="00E75E6A" w:rsidRDefault="00000000">
      <w:r>
        <w:t>Continuity Engine™ Infrastructure for governed decision systems.</w:t>
      </w:r>
    </w:p>
    <w:sectPr w:rsidR="00E75E6A">
      <w:headerReference w:type="default" r:id="rId7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C6A6E" w14:textId="77777777" w:rsidR="007A50F9" w:rsidRDefault="007A50F9" w:rsidP="00C358F8">
      <w:pPr>
        <w:spacing w:after="0"/>
      </w:pPr>
      <w:r>
        <w:separator/>
      </w:r>
    </w:p>
  </w:endnote>
  <w:endnote w:type="continuationSeparator" w:id="0">
    <w:p w14:paraId="2B19237B" w14:textId="77777777" w:rsidR="007A50F9" w:rsidRDefault="007A50F9" w:rsidP="00C358F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E0D32" w14:textId="77777777" w:rsidR="007A50F9" w:rsidRDefault="007A50F9" w:rsidP="00C358F8">
      <w:pPr>
        <w:spacing w:after="0"/>
      </w:pPr>
      <w:r>
        <w:separator/>
      </w:r>
    </w:p>
  </w:footnote>
  <w:footnote w:type="continuationSeparator" w:id="0">
    <w:p w14:paraId="29F8EE17" w14:textId="77777777" w:rsidR="007A50F9" w:rsidRDefault="007A50F9" w:rsidP="00C358F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3E861" w14:textId="77777777" w:rsidR="00C358F8" w:rsidRPr="00AE4D10" w:rsidRDefault="00C358F8" w:rsidP="00C358F8">
    <w:pPr>
      <w:pStyle w:val="Heading1"/>
      <w:spacing w:before="0"/>
      <w:jc w:val="center"/>
    </w:pPr>
    <w:r w:rsidRPr="00AE4D10">
      <w:rPr>
        <w:rFonts w:ascii="Times New Roman" w:hAnsi="Times New Roman" w:cs="Times New Roman"/>
        <w:b/>
        <w:sz w:val="36"/>
      </w:rPr>
      <w:t>THE CONTINUITY OFFICE</w:t>
    </w:r>
    <w:r w:rsidRPr="00AE4D10">
      <w:rPr>
        <w:rFonts w:ascii="Times New Roman" w:hAnsi="Times New Roman" w:cs="Times New Roman"/>
        <w:b/>
        <w:sz w:val="36"/>
      </w:rPr>
      <w:br/>
    </w:r>
    <w:r>
      <w:rPr>
        <w:rFonts w:ascii="Segoe UI" w:hAnsi="Segoe UI" w:cs="Segoe UI"/>
        <w:spacing w:val="4"/>
        <w:sz w:val="18"/>
        <w:szCs w:val="18"/>
        <w:shd w:val="clear" w:color="auto" w:fill="FFFFFF"/>
      </w:rPr>
      <w:t xml:space="preserve"> </w:t>
    </w:r>
    <w:r w:rsidRPr="000503F2">
      <w:rPr>
        <w:rFonts w:ascii="IBM Plex Sans" w:hAnsi="IBM Plex Sans"/>
        <w:i/>
        <w:iCs/>
        <w:spacing w:val="4"/>
        <w:sz w:val="18"/>
        <w:szCs w:val="18"/>
        <w:shd w:val="clear" w:color="auto" w:fill="FFFFFF"/>
      </w:rPr>
      <w:t>Helping organizations navigate AI and change</w:t>
    </w:r>
  </w:p>
  <w:p w14:paraId="59C1DA73" w14:textId="77777777" w:rsidR="00C358F8" w:rsidRDefault="00C358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0A15"/>
    <w:multiLevelType w:val="multilevel"/>
    <w:tmpl w:val="D29E96A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" w15:restartNumberingAfterBreak="0">
    <w:nsid w:val="03B307F9"/>
    <w:multiLevelType w:val="multilevel"/>
    <w:tmpl w:val="2BE2FED8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2" w15:restartNumberingAfterBreak="0">
    <w:nsid w:val="145833B2"/>
    <w:multiLevelType w:val="multilevel"/>
    <w:tmpl w:val="FFF03BD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3" w15:restartNumberingAfterBreak="0">
    <w:nsid w:val="1929623C"/>
    <w:multiLevelType w:val="multilevel"/>
    <w:tmpl w:val="B7584F8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4" w15:restartNumberingAfterBreak="0">
    <w:nsid w:val="21626A78"/>
    <w:multiLevelType w:val="multilevel"/>
    <w:tmpl w:val="8CA86FF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5" w15:restartNumberingAfterBreak="0">
    <w:nsid w:val="26D167B9"/>
    <w:multiLevelType w:val="multilevel"/>
    <w:tmpl w:val="F2BCBD5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6" w15:restartNumberingAfterBreak="0">
    <w:nsid w:val="3986144B"/>
    <w:multiLevelType w:val="multilevel"/>
    <w:tmpl w:val="63BE09B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7" w15:restartNumberingAfterBreak="0">
    <w:nsid w:val="408E477E"/>
    <w:multiLevelType w:val="multilevel"/>
    <w:tmpl w:val="CD688E5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8" w15:restartNumberingAfterBreak="0">
    <w:nsid w:val="4628251E"/>
    <w:multiLevelType w:val="multilevel"/>
    <w:tmpl w:val="614AD04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9" w15:restartNumberingAfterBreak="0">
    <w:nsid w:val="49726A8E"/>
    <w:multiLevelType w:val="multilevel"/>
    <w:tmpl w:val="1B7254F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0" w15:restartNumberingAfterBreak="0">
    <w:nsid w:val="56AA7503"/>
    <w:multiLevelType w:val="multilevel"/>
    <w:tmpl w:val="A46EA84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1" w15:restartNumberingAfterBreak="0">
    <w:nsid w:val="5A9D7011"/>
    <w:multiLevelType w:val="multilevel"/>
    <w:tmpl w:val="0F1C1F1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2" w15:restartNumberingAfterBreak="0">
    <w:nsid w:val="613E4E16"/>
    <w:multiLevelType w:val="multilevel"/>
    <w:tmpl w:val="DF30BF0C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3" w15:restartNumberingAfterBreak="0">
    <w:nsid w:val="61B414E4"/>
    <w:multiLevelType w:val="multilevel"/>
    <w:tmpl w:val="4DAE75FE"/>
    <w:lvl w:ilvl="0">
      <w:start w:val="1"/>
      <w:numFmt w:val="bullet"/>
      <w:lvlText w:val=" "/>
      <w:lvlJc w:val="left"/>
      <w:pPr>
        <w:ind w:left="480" w:right="0" w:hanging="480"/>
      </w:pPr>
    </w:lvl>
    <w:lvl w:ilvl="1">
      <w:start w:val="1"/>
      <w:numFmt w:val="bullet"/>
      <w:lvlText w:val=" "/>
      <w:lvlJc w:val="left"/>
      <w:pPr>
        <w:ind w:left="1200" w:right="0" w:hanging="480"/>
      </w:pPr>
    </w:lvl>
    <w:lvl w:ilvl="2">
      <w:start w:val="1"/>
      <w:numFmt w:val="bullet"/>
      <w:lvlText w:val=" "/>
      <w:lvlJc w:val="left"/>
      <w:pPr>
        <w:ind w:left="1920" w:right="0" w:hanging="480"/>
      </w:pPr>
    </w:lvl>
    <w:lvl w:ilvl="3">
      <w:start w:val="1"/>
      <w:numFmt w:val="bullet"/>
      <w:lvlText w:val=" "/>
      <w:lvlJc w:val="left"/>
      <w:pPr>
        <w:ind w:left="2640" w:right="0" w:hanging="480"/>
      </w:pPr>
    </w:lvl>
    <w:lvl w:ilvl="4">
      <w:start w:val="1"/>
      <w:numFmt w:val="bullet"/>
      <w:lvlText w:val=" "/>
      <w:lvlJc w:val="left"/>
      <w:pPr>
        <w:ind w:left="3360" w:right="0" w:hanging="480"/>
      </w:pPr>
    </w:lvl>
    <w:lvl w:ilvl="5">
      <w:start w:val="1"/>
      <w:numFmt w:val="bullet"/>
      <w:lvlText w:val=" "/>
      <w:lvlJc w:val="left"/>
      <w:pPr>
        <w:ind w:left="4080" w:right="0" w:hanging="480"/>
      </w:pPr>
    </w:lvl>
    <w:lvl w:ilvl="6">
      <w:start w:val="1"/>
      <w:numFmt w:val="bullet"/>
      <w:lvlText w:val=" "/>
      <w:lvlJc w:val="left"/>
      <w:pPr>
        <w:ind w:left="4800" w:right="0" w:hanging="480"/>
      </w:pPr>
    </w:lvl>
    <w:lvl w:ilvl="7">
      <w:start w:val="1"/>
      <w:numFmt w:val="bullet"/>
      <w:lvlText w:val=" "/>
      <w:lvlJc w:val="left"/>
      <w:pPr>
        <w:ind w:left="5520" w:right="0" w:hanging="480"/>
      </w:pPr>
    </w:lvl>
    <w:lvl w:ilvl="8">
      <w:start w:val="1"/>
      <w:numFmt w:val="bullet"/>
      <w:lvlText w:val=" "/>
      <w:lvlJc w:val="left"/>
      <w:pPr>
        <w:ind w:left="6240" w:right="0" w:hanging="480"/>
      </w:pPr>
    </w:lvl>
  </w:abstractNum>
  <w:abstractNum w:abstractNumId="14" w15:restartNumberingAfterBreak="0">
    <w:nsid w:val="63160172"/>
    <w:multiLevelType w:val="multilevel"/>
    <w:tmpl w:val="2DFC81B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5" w15:restartNumberingAfterBreak="0">
    <w:nsid w:val="670A261B"/>
    <w:multiLevelType w:val="multilevel"/>
    <w:tmpl w:val="1180DAFE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6" w15:restartNumberingAfterBreak="0">
    <w:nsid w:val="708625A8"/>
    <w:multiLevelType w:val="multilevel"/>
    <w:tmpl w:val="CE2297AE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7" w15:restartNumberingAfterBreak="0">
    <w:nsid w:val="72E80ADF"/>
    <w:multiLevelType w:val="multilevel"/>
    <w:tmpl w:val="9BCC704E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num w:numId="1" w16cid:durableId="266935013">
    <w:abstractNumId w:val="12"/>
  </w:num>
  <w:num w:numId="2" w16cid:durableId="1922062305">
    <w:abstractNumId w:val="4"/>
  </w:num>
  <w:num w:numId="3" w16cid:durableId="99112131">
    <w:abstractNumId w:val="13"/>
  </w:num>
  <w:num w:numId="4" w16cid:durableId="1971157866">
    <w:abstractNumId w:val="2"/>
  </w:num>
  <w:num w:numId="5" w16cid:durableId="493106123">
    <w:abstractNumId w:val="0"/>
  </w:num>
  <w:num w:numId="6" w16cid:durableId="19745305">
    <w:abstractNumId w:val="15"/>
  </w:num>
  <w:num w:numId="7" w16cid:durableId="1743481190">
    <w:abstractNumId w:val="9"/>
  </w:num>
  <w:num w:numId="8" w16cid:durableId="240800662">
    <w:abstractNumId w:val="8"/>
  </w:num>
  <w:num w:numId="9" w16cid:durableId="43915321">
    <w:abstractNumId w:val="3"/>
  </w:num>
  <w:num w:numId="10" w16cid:durableId="1794133003">
    <w:abstractNumId w:val="14"/>
  </w:num>
  <w:num w:numId="11" w16cid:durableId="2138838770">
    <w:abstractNumId w:val="1"/>
  </w:num>
  <w:num w:numId="12" w16cid:durableId="536621570">
    <w:abstractNumId w:val="17"/>
  </w:num>
  <w:num w:numId="13" w16cid:durableId="1927693456">
    <w:abstractNumId w:val="10"/>
  </w:num>
  <w:num w:numId="14" w16cid:durableId="771633878">
    <w:abstractNumId w:val="5"/>
  </w:num>
  <w:num w:numId="15" w16cid:durableId="468326866">
    <w:abstractNumId w:val="6"/>
  </w:num>
  <w:num w:numId="16" w16cid:durableId="212422630">
    <w:abstractNumId w:val="7"/>
  </w:num>
  <w:num w:numId="17" w16cid:durableId="794981696">
    <w:abstractNumId w:val="11"/>
  </w:num>
  <w:num w:numId="18" w16cid:durableId="12569822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5E6A"/>
    <w:rsid w:val="004F7A06"/>
    <w:rsid w:val="007A50F9"/>
    <w:rsid w:val="00C358F8"/>
    <w:rsid w:val="00E75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E325E4"/>
  <w15:docId w15:val="{81D8F0F2-0A97-6043-9AB6-F0222FD0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spacing w:before="480" w:after="0"/>
      <w:outlineLvl w:val="0"/>
    </w:pPr>
    <w:rPr>
      <w:rFonts w:asciiTheme="majorHAnsi" w:eastAsiaTheme="majorEastAsia" w:hAnsiTheme="majorHAnsi" w:cstheme="majorBidi"/>
      <w:color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spacing w:before="200" w:after="0"/>
      <w:outlineLvl w:val="1"/>
    </w:pPr>
    <w:rPr>
      <w:rFonts w:asciiTheme="majorHAnsi" w:eastAsiaTheme="majorEastAsia" w:hAnsiTheme="majorHAnsi" w:cstheme="majorBidi"/>
      <w:color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spacing w:before="200" w:after="0"/>
      <w:outlineLvl w:val="2"/>
    </w:pPr>
    <w:rPr>
      <w:rFonts w:asciiTheme="majorHAnsi" w:eastAsiaTheme="majorEastAsia" w:hAnsiTheme="majorHAnsi" w:cstheme="majorBidi"/>
      <w:color w:val="4F81BD"/>
    </w:rPr>
  </w:style>
  <w:style w:type="paragraph" w:styleId="Heading4">
    <w:name w:val="heading 4"/>
    <w:basedOn w:val="Normal"/>
    <w:next w:val="BodyText"/>
    <w:uiPriority w:val="9"/>
    <w:semiHidden/>
    <w:unhideWhenUsed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4F81BD"/>
    </w:rPr>
  </w:style>
  <w:style w:type="paragraph" w:styleId="Heading5">
    <w:name w:val="heading 5"/>
    <w:basedOn w:val="Normal"/>
    <w:next w:val="BodyText"/>
    <w:uiPriority w:val="9"/>
    <w:semiHidden/>
    <w:unhideWhenUsed/>
    <w:qFormat/>
    <w:pPr>
      <w:spacing w:before="200" w:after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Heading6">
    <w:name w:val="heading 6"/>
    <w:basedOn w:val="Normal"/>
    <w:next w:val="BodyText"/>
    <w:uiPriority w:val="9"/>
    <w:semiHidden/>
    <w:unhideWhenUsed/>
    <w:qFormat/>
    <w:pPr>
      <w:spacing w:before="200" w:after="0"/>
      <w:outlineLvl w:val="5"/>
    </w:pPr>
    <w:rPr>
      <w:rFonts w:asciiTheme="majorHAnsi" w:eastAsiaTheme="majorEastAsia" w:hAnsiTheme="majorHAnsi" w:cstheme="majorBidi"/>
      <w:color w:val="4F81BD"/>
    </w:rPr>
  </w:style>
  <w:style w:type="paragraph" w:styleId="Heading7">
    <w:name w:val="heading 7"/>
    <w:basedOn w:val="Normal"/>
    <w:next w:val="BodyText"/>
    <w:qFormat/>
    <w:pPr>
      <w:spacing w:before="200" w:after="0"/>
      <w:outlineLvl w:val="6"/>
    </w:pPr>
    <w:rPr>
      <w:rFonts w:asciiTheme="majorHAnsi" w:eastAsiaTheme="majorEastAsia" w:hAnsiTheme="majorHAnsi" w:cstheme="majorBidi"/>
      <w:color w:val="4F81BD"/>
    </w:rPr>
  </w:style>
  <w:style w:type="paragraph" w:styleId="Heading8">
    <w:name w:val="heading 8"/>
    <w:basedOn w:val="Normal"/>
    <w:next w:val="BodyText"/>
    <w:qFormat/>
    <w:pPr>
      <w:spacing w:before="200" w:after="0"/>
      <w:outlineLvl w:val="7"/>
    </w:pPr>
    <w:rPr>
      <w:rFonts w:asciiTheme="majorHAnsi" w:eastAsiaTheme="majorEastAsia" w:hAnsiTheme="majorHAnsi" w:cstheme="majorBidi"/>
      <w:color w:val="4F81BD"/>
    </w:rPr>
  </w:style>
  <w:style w:type="paragraph" w:styleId="Heading9">
    <w:name w:val="heading 9"/>
    <w:basedOn w:val="Normal"/>
    <w:next w:val="BodyText"/>
    <w:qFormat/>
    <w:pPr>
      <w:spacing w:before="200" w:after="0"/>
      <w:outlineLvl w:val="8"/>
    </w:pPr>
    <w:rPr>
      <w:rFonts w:asciiTheme="majorHAnsi" w:eastAsiaTheme="majorEastAsia" w:hAnsiTheme="majorHAnsi" w:cstheme="majorBid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next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next w:val="Normal"/>
    <w:qFormat/>
    <w:pPr>
      <w:spacing w:before="36" w:after="36"/>
    </w:pPr>
  </w:style>
  <w:style w:type="paragraph" w:styleId="Title">
    <w:name w:val="Title"/>
    <w:basedOn w:val="Normal"/>
    <w:next w:val="BodyText"/>
    <w:uiPriority w:val="10"/>
    <w:qFormat/>
    <w:pPr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/>
      <w:sz w:val="36"/>
      <w:szCs w:val="36"/>
    </w:rPr>
  </w:style>
  <w:style w:type="paragraph" w:styleId="Subtitle">
    <w:name w:val="Subtitle"/>
    <w:basedOn w:val="Title"/>
    <w:next w:val="BodyText"/>
    <w:uiPriority w:val="11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jc w:val="center"/>
    </w:pPr>
  </w:style>
  <w:style w:type="paragraph" w:styleId="Date">
    <w:name w:val="Date"/>
    <w:next w:val="BodyText"/>
    <w:qFormat/>
    <w:pPr>
      <w:jc w:val="center"/>
    </w:pPr>
  </w:style>
  <w:style w:type="paragraph" w:customStyle="1" w:styleId="Abstract">
    <w:name w:val="Abstract"/>
    <w:basedOn w:val="Normal"/>
    <w:next w:val="BodyText"/>
    <w:qFormat/>
    <w:pPr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qFormat/>
    <w:pPr>
      <w:spacing w:before="100" w:after="100"/>
      <w:ind w:left="480" w:right="480"/>
    </w:pPr>
  </w:style>
  <w:style w:type="paragraph" w:styleId="Quote">
    <w:name w:val="Quote"/>
    <w:basedOn w:val="BodyText"/>
    <w:next w:val="BodyText"/>
    <w:qFormat/>
    <w:pPr>
      <w:spacing w:before="100" w:after="100"/>
      <w:ind w:left="480" w:right="480"/>
    </w:pPr>
  </w:style>
  <w:style w:type="paragraph" w:styleId="FootnoteText">
    <w:name w:val="footnote text"/>
    <w:basedOn w:val="Normal"/>
    <w:qFormat/>
  </w:style>
  <w:style w:type="table" w:customStyle="1" w:styleId="Table">
    <w:name w:val="Table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Normal"/>
    <w:next w:val="Definition"/>
    <w:qFormat/>
    <w:pPr>
      <w:spacing w:after="0"/>
    </w:pPr>
    <w:rPr>
      <w:b/>
      <w:bCs/>
    </w:rPr>
  </w:style>
  <w:style w:type="paragraph" w:customStyle="1" w:styleId="Definition">
    <w:name w:val="Definition"/>
    <w:basedOn w:val="Normal"/>
    <w:next w:val="Normal"/>
    <w:qFormat/>
  </w:style>
  <w:style w:type="paragraph" w:styleId="Caption">
    <w:name w:val="caption"/>
    <w:basedOn w:val="Normal"/>
    <w:next w:val="Normal"/>
    <w:qFormat/>
    <w:pPr>
      <w:spacing w:after="120"/>
    </w:pPr>
    <w:rPr>
      <w:i/>
      <w:iCs/>
    </w:rPr>
  </w:style>
  <w:style w:type="paragraph" w:customStyle="1" w:styleId="TableCaption">
    <w:name w:val="Table Caption"/>
    <w:basedOn w:val="Caption"/>
    <w:next w:val="Normal"/>
    <w:qFormat/>
  </w:style>
  <w:style w:type="paragraph" w:customStyle="1" w:styleId="ImageCaption">
    <w:name w:val="Image Caption"/>
    <w:basedOn w:val="Caption"/>
    <w:next w:val="Normal"/>
    <w:qFormat/>
  </w:style>
  <w:style w:type="paragraph" w:customStyle="1" w:styleId="Figure">
    <w:name w:val="Figure"/>
    <w:basedOn w:val="Normal"/>
    <w:next w:val="Normal"/>
    <w:qFormat/>
  </w:style>
  <w:style w:type="paragraph" w:customStyle="1" w:styleId="CaptionedFigure">
    <w:name w:val="Captioned Figure"/>
    <w:basedOn w:val="Figure"/>
    <w:next w:val="Normal"/>
    <w:qFormat/>
  </w:style>
  <w:style w:type="character" w:customStyle="1" w:styleId="BodyTextChar">
    <w:name w:val="Body Text Char"/>
    <w:basedOn w:val="DefaultParagraphFont"/>
    <w:qFormat/>
  </w:style>
  <w:style w:type="character" w:customStyle="1" w:styleId="VerbatimChar">
    <w:name w:val="Verbatim Char"/>
    <w:basedOn w:val="BodyTextChar"/>
    <w:qFormat/>
    <w:rPr>
      <w:rFonts w:ascii="Consolas" w:hAnsi="Consolas"/>
      <w:sz w:val="22"/>
      <w:szCs w:val="22"/>
    </w:rPr>
  </w:style>
  <w:style w:type="character" w:styleId="FootnoteReference">
    <w:name w:val="footnote reference"/>
    <w:basedOn w:val="BodyTextChar"/>
    <w:qFormat/>
    <w:rPr>
      <w:vertAlign w:val="superscript"/>
    </w:rPr>
  </w:style>
  <w:style w:type="character" w:styleId="Hyperlink">
    <w:name w:val="Hyperlink"/>
    <w:basedOn w:val="BodyTextChar"/>
    <w:qFormat/>
    <w:rPr>
      <w:color w:val="4F81BD"/>
    </w:rPr>
  </w:style>
  <w:style w:type="paragraph" w:styleId="TOCHeading">
    <w:name w:val="TOC Heading"/>
    <w:basedOn w:val="Heading1"/>
    <w:next w:val="BodyText"/>
    <w:qFormat/>
    <w:pPr>
      <w:spacing w:before="240"/>
    </w:pPr>
    <w:rPr>
      <w:color w:val="365F91"/>
    </w:rPr>
  </w:style>
  <w:style w:type="paragraph" w:customStyle="1" w:styleId="SourceCode">
    <w:name w:val="Source Code"/>
    <w:basedOn w:val="BodyText"/>
    <w:qFormat/>
    <w:pPr>
      <w:shd w:val="clear" w:color="auto" w:fill="D9D9D9"/>
      <w:contextualSpacing/>
    </w:pPr>
    <w:rPr>
      <w:rFonts w:ascii="Consolas" w:hAnsi="Consolas"/>
      <w:sz w:val="22"/>
      <w:szCs w:val="22"/>
    </w:rPr>
  </w:style>
  <w:style w:type="character" w:customStyle="1" w:styleId="InlineMath">
    <w:name w:val="Inline Math"/>
    <w:basedOn w:val="DefaultParagraphFont"/>
    <w:qFormat/>
    <w:rPr>
      <w:rFonts w:ascii="Consolas" w:hAnsi="Consolas"/>
      <w:color w:val="FF0000"/>
      <w:sz w:val="22"/>
      <w:szCs w:val="22"/>
    </w:rPr>
  </w:style>
  <w:style w:type="character" w:customStyle="1" w:styleId="DisplayMath">
    <w:name w:val="Display Math"/>
    <w:basedOn w:val="DefaultParagraphFont"/>
    <w:qFormat/>
    <w:rPr>
      <w:rFonts w:ascii="Consolas" w:hAnsi="Consolas"/>
      <w:color w:val="FF0000"/>
      <w:sz w:val="22"/>
      <w:szCs w:val="22"/>
    </w:rPr>
  </w:style>
  <w:style w:type="paragraph" w:customStyle="1" w:styleId="Metadata">
    <w:name w:val="Metadata"/>
    <w:basedOn w:val="BodyText"/>
    <w:next w:val="Normal"/>
    <w:qFormat/>
    <w:rPr>
      <w:rFonts w:ascii="Consolas" w:hAnsi="Consolas"/>
      <w:color w:val="D9D9D9"/>
    </w:rPr>
  </w:style>
  <w:style w:type="paragraph" w:customStyle="1" w:styleId="SourceCodeLanguage">
    <w:name w:val="Source Code Language"/>
    <w:basedOn w:val="BodyText"/>
    <w:next w:val="SourceCode"/>
    <w:qFormat/>
    <w:pPr>
      <w:spacing w:before="0" w:after="0"/>
    </w:pPr>
    <w:rPr>
      <w:rFonts w:ascii="Consolas" w:hAnsi="Consolas"/>
      <w:color w:val="D99594"/>
    </w:rPr>
  </w:style>
  <w:style w:type="paragraph" w:styleId="ListParagraph">
    <w:name w:val="List Paragraph"/>
    <w:qFormat/>
  </w:style>
  <w:style w:type="paragraph" w:customStyle="1" w:styleId="RawHTML">
    <w:name w:val="Raw HTML"/>
    <w:next w:val="Normal"/>
    <w:qFormat/>
    <w:rPr>
      <w:rFonts w:ascii="Consolas" w:hAnsi="Consolas"/>
      <w:color w:val="00A000"/>
    </w:rPr>
  </w:style>
  <w:style w:type="character" w:customStyle="1" w:styleId="RawHTMLChar">
    <w:name w:val="Raw HTML Char"/>
    <w:qFormat/>
    <w:rPr>
      <w:rFonts w:ascii="Consolas" w:hAnsi="Consolas"/>
      <w:color w:val="00A000"/>
    </w:rPr>
  </w:style>
  <w:style w:type="paragraph" w:styleId="Header">
    <w:name w:val="header"/>
    <w:basedOn w:val="Normal"/>
    <w:link w:val="HeaderChar"/>
    <w:uiPriority w:val="99"/>
    <w:unhideWhenUsed/>
    <w:rsid w:val="00C358F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358F8"/>
  </w:style>
  <w:style w:type="paragraph" w:styleId="Footer">
    <w:name w:val="footer"/>
    <w:basedOn w:val="Normal"/>
    <w:link w:val="FooterChar"/>
    <w:uiPriority w:val="99"/>
    <w:unhideWhenUsed/>
    <w:rsid w:val="00C358F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358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554</Words>
  <Characters>3790</Characters>
  <Application>Microsoft Office Word</Application>
  <DocSecurity>0</DocSecurity>
  <Lines>145</Lines>
  <Paragraphs>131</Paragraphs>
  <ScaleCrop>false</ScaleCrop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Bob Simpson</cp:lastModifiedBy>
  <cp:revision>2</cp:revision>
  <dcterms:created xsi:type="dcterms:W3CDTF">1970-01-01T00:00:00Z</dcterms:created>
  <dcterms:modified xsi:type="dcterms:W3CDTF">2026-02-17T21:28:00Z</dcterms:modified>
</cp:coreProperties>
</file>