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Personal Data Sovereignty Protocol (PDSP‑lite) Specification v0.3</w:t>
      </w:r>
    </w:p>
    <w:p>
      <w:r>
        <w:t>Status: Draft 04 – 11 May 2025</w:t>
      </w:r>
    </w:p>
    <w:p>
      <w:pPr>
        <w:pStyle w:val="Heading1"/>
      </w:pPr>
      <w:r>
        <w:t>1. Introduction</w:t>
      </w:r>
    </w:p>
    <w:p>
      <w:r>
        <w:t>PDSP‑lite v0.3 extends v0.2 with two optional, human‑friendly onboarding profiles:</w:t>
        <w:br/>
        <w:t>• **loop://exchange URI** – a compact URI for QR, NFC or deep‑link hand‑off of a participant’s public key.</w:t>
        <w:br/>
        <w:t>• **TOTP‑HK‑1 voice/SMS handshake** – retained from the legacy HumanKey draft for edge cases where visual channels are unavailable.</w:t>
        <w:br/>
        <w:br/>
        <w:t>The core packet header (v0.2) is unchanged. Implementations MAY ignore both profiles if QR or NFC key exchange suffices.</w:t>
      </w:r>
    </w:p>
    <w:p>
      <w:pPr>
        <w:pStyle w:val="Heading1"/>
      </w:pPr>
      <w:r>
        <w:t>2. Packet Header Schema</w:t>
      </w:r>
    </w:p>
    <w:p>
      <w:r>
        <w:t>Identical to v0.2. Refer to PDSP‑lite v0.2 for the normative field table.</w:t>
      </w:r>
    </w:p>
    <w:p>
      <w:pPr>
        <w:pStyle w:val="Heading1"/>
      </w:pPr>
      <w:r>
        <w:t>3. Validation &amp; Error Codes</w:t>
      </w:r>
    </w:p>
    <w:p>
      <w:r>
        <w:t>Validation semantics are unchanged from v0.2.</w:t>
      </w:r>
    </w:p>
    <w:p>
      <w:pPr>
        <w:pStyle w:val="Heading1"/>
      </w:pPr>
      <w:r>
        <w:t>4. Optional Onboarding Profiles</w:t>
      </w:r>
    </w:p>
    <w:p>
      <w:r>
        <w:t>### 4.1 loop://exchange URI (Appendix B)</w:t>
        <w:br/>
        <w:t>Preferred for QR, NFC, or link‑click onboarding. Conveys only the public key; the secure LoopLink handshake still applies.</w:t>
        <w:br/>
      </w:r>
    </w:p>
    <w:p>
      <w:r>
        <w:t>### 4.2 TOTP‑HK‑1 voice/SMS (Appendix A)</w:t>
        <w:br/>
        <w:t>Six‑digit code swap for voice‑only scenarios. Clients MUST rotate to random keys immediately after loop creation.</w:t>
      </w:r>
    </w:p>
    <w:p>
      <w:pPr>
        <w:pStyle w:val="Heading1"/>
      </w:pPr>
      <w:r>
        <w:t>5. Change Log</w:t>
      </w:r>
    </w:p>
    <w:p>
      <w:r>
        <w:t>• v0.3 (Draft 04, 2025‑05‑11): added loop:// URI scheme (Appendix B) and clarified TOTP‑HK‑1 fallback (Appendix A). No changes to header schema.</w:t>
        <w:br/>
        <w:t>• v0.2 (Draft 03): participants_delta, turn_type, new roles, API verbs.</w:t>
        <w:br/>
        <w:t>• v0.1 (Draft 02): initial public draft.</w:t>
      </w:r>
    </w:p>
    <w:p>
      <w:pPr>
        <w:pStyle w:val="Heading1"/>
      </w:pPr>
      <w:r>
        <w:t>Appendix A – TOTP‑HK‑1 Handshake (reference)</w:t>
      </w:r>
    </w:p>
    <w:p>
      <w:r>
        <w:t>See dedicated appendix document for full algorithm profile, flow, and security notes.</w:t>
      </w:r>
    </w:p>
    <w:p>
      <w:pPr>
        <w:pStyle w:val="Heading1"/>
      </w:pPr>
      <w:r>
        <w:t>Appendix B – loop://exchange URI Scheme (provisional)</w:t>
      </w:r>
    </w:p>
    <w:p>
      <w:r>
        <w:t>URI‑Template:</w:t>
        <w:br/>
        <w:t xml:space="preserve">  loop://exchange?pubkey={BASE58&lt;Ed25519&gt;}&amp;label={pct‑encoded}&amp;expires={epoch}&amp;alg=ed25519</w:t>
        <w:br/>
        <w:br/>
        <w:t>Parameters:</w:t>
        <w:br/>
        <w:t>• pubkey (required) – base‑58 Ed25519 public key.</w:t>
        <w:br/>
        <w:t>• label (optional) – percent‑encoded UTF‑8 label.</w:t>
        <w:br/>
        <w:t>• expires (optional) – Unix epoch expiry.</w:t>
        <w:br/>
        <w:t>• alg (optional) – defaults to ed25519.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