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774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1"/>
        <w:gridCol w:w="4713"/>
      </w:tblGrid>
      <w:tr w:rsidR="003A063C" w:rsidRPr="00D01ECB" w:rsidTr="00A06F14">
        <w:trPr>
          <w:trHeight w:val="583"/>
        </w:trPr>
        <w:tc>
          <w:tcPr>
            <w:tcW w:w="6061" w:type="dxa"/>
            <w:hideMark/>
          </w:tcPr>
          <w:p w:rsidR="003A063C" w:rsidRPr="00D01ECB" w:rsidRDefault="003A063C">
            <w:pPr>
              <w:spacing w:after="0"/>
              <w:rPr>
                <w:rFonts w:ascii="Arial Narrow" w:hAnsi="Arial Narrow" w:cs="Tahoma"/>
                <w:b/>
              </w:rPr>
            </w:pPr>
            <w:bookmarkStart w:id="0" w:name="_GoBack"/>
            <w:bookmarkEnd w:id="0"/>
            <w:r w:rsidRPr="00D01ECB">
              <w:rPr>
                <w:rFonts w:ascii="Arial Narrow" w:hAnsi="Arial Narrow" w:cs="Tahoma"/>
                <w:b/>
              </w:rPr>
              <w:t xml:space="preserve">CGECI </w:t>
            </w:r>
          </w:p>
          <w:p w:rsidR="003A063C" w:rsidRPr="00D01ECB" w:rsidRDefault="003A063C">
            <w:pPr>
              <w:spacing w:after="0"/>
              <w:rPr>
                <w:rFonts w:ascii="Arial Narrow" w:hAnsi="Arial Narrow" w:cs="Tahoma"/>
                <w:b/>
              </w:rPr>
            </w:pPr>
            <w:r w:rsidRPr="00D01ECB">
              <w:rPr>
                <w:rFonts w:ascii="Arial Narrow" w:hAnsi="Arial Narrow" w:cs="Tahoma"/>
                <w:b/>
              </w:rPr>
              <w:t>--------</w:t>
            </w:r>
            <w:r w:rsidRPr="00D01ECB">
              <w:rPr>
                <w:rFonts w:ascii="Arial Narrow" w:hAnsi="Arial Narrow" w:cs="Tahoma"/>
                <w:b/>
              </w:rPr>
              <w:tab/>
            </w:r>
          </w:p>
        </w:tc>
        <w:tc>
          <w:tcPr>
            <w:tcW w:w="4713" w:type="dxa"/>
            <w:hideMark/>
          </w:tcPr>
          <w:p w:rsidR="003A063C" w:rsidRPr="00D01ECB" w:rsidRDefault="003A063C" w:rsidP="006B02C8">
            <w:pPr>
              <w:spacing w:after="0"/>
              <w:rPr>
                <w:rFonts w:ascii="Arial Narrow" w:hAnsi="Arial Narrow" w:cs="Tahoma"/>
                <w:b/>
              </w:rPr>
            </w:pPr>
            <w:r w:rsidRPr="00D01ECB">
              <w:rPr>
                <w:rFonts w:ascii="Arial Narrow" w:hAnsi="Arial Narrow" w:cs="Tahoma"/>
                <w:b/>
              </w:rPr>
              <w:t xml:space="preserve">      </w:t>
            </w:r>
            <w:r w:rsidR="00AF7BE1" w:rsidRPr="00D01ECB">
              <w:rPr>
                <w:rFonts w:ascii="Arial Narrow" w:hAnsi="Arial Narrow" w:cs="Tahoma"/>
                <w:b/>
              </w:rPr>
              <w:t xml:space="preserve">         </w:t>
            </w:r>
            <w:r w:rsidR="006B02C8">
              <w:rPr>
                <w:rFonts w:ascii="Arial Narrow" w:hAnsi="Arial Narrow" w:cs="Tahoma"/>
                <w:b/>
              </w:rPr>
              <w:t>A l’attention du</w:t>
            </w:r>
          </w:p>
        </w:tc>
      </w:tr>
      <w:tr w:rsidR="003A063C" w:rsidRPr="00D01ECB" w:rsidTr="00A06F14">
        <w:trPr>
          <w:trHeight w:val="941"/>
        </w:trPr>
        <w:tc>
          <w:tcPr>
            <w:tcW w:w="6061" w:type="dxa"/>
            <w:hideMark/>
          </w:tcPr>
          <w:p w:rsidR="003B2FE3" w:rsidRPr="00D01ECB" w:rsidRDefault="003B2FE3" w:rsidP="003B2FE3">
            <w:pPr>
              <w:spacing w:after="0"/>
              <w:rPr>
                <w:rFonts w:ascii="Arial Narrow" w:hAnsi="Arial Narrow" w:cs="Tahoma"/>
                <w:b/>
              </w:rPr>
            </w:pPr>
            <w:r w:rsidRPr="00D01ECB">
              <w:rPr>
                <w:rFonts w:ascii="Arial Narrow" w:hAnsi="Arial Narrow" w:cs="Tahoma"/>
                <w:b/>
              </w:rPr>
              <w:t xml:space="preserve">Direction du Développement des Entreprises </w:t>
            </w:r>
          </w:p>
          <w:p w:rsidR="003A063C" w:rsidRPr="00D01ECB" w:rsidRDefault="003B2FE3">
            <w:pPr>
              <w:spacing w:after="0"/>
              <w:rPr>
                <w:rFonts w:ascii="Arial Narrow" w:hAnsi="Arial Narrow" w:cs="Tahoma"/>
                <w:b/>
              </w:rPr>
            </w:pPr>
            <w:r w:rsidRPr="00D01ECB">
              <w:rPr>
                <w:rFonts w:ascii="Arial Narrow" w:hAnsi="Arial Narrow" w:cs="Tahoma"/>
                <w:b/>
              </w:rPr>
              <w:t>et des Etudes Economiques (DDEE)</w:t>
            </w:r>
          </w:p>
          <w:p w:rsidR="003A063C" w:rsidRPr="00D01ECB" w:rsidRDefault="003A063C">
            <w:pPr>
              <w:spacing w:after="0"/>
              <w:rPr>
                <w:rFonts w:ascii="Arial Narrow" w:hAnsi="Arial Narrow" w:cs="Tahoma"/>
                <w:b/>
              </w:rPr>
            </w:pPr>
            <w:r w:rsidRPr="00D01ECB">
              <w:rPr>
                <w:rFonts w:ascii="Arial Narrow" w:hAnsi="Arial Narrow" w:cs="Tahoma"/>
                <w:b/>
              </w:rPr>
              <w:t>--------</w:t>
            </w:r>
          </w:p>
        </w:tc>
        <w:tc>
          <w:tcPr>
            <w:tcW w:w="4713" w:type="dxa"/>
          </w:tcPr>
          <w:p w:rsidR="003A063C" w:rsidRPr="00D01ECB" w:rsidRDefault="00AF7BE1" w:rsidP="009479DC">
            <w:pPr>
              <w:spacing w:after="0"/>
              <w:rPr>
                <w:rFonts w:ascii="Arial Narrow" w:hAnsi="Arial Narrow" w:cs="Tahoma"/>
                <w:b/>
              </w:rPr>
            </w:pPr>
            <w:r w:rsidRPr="00D01ECB">
              <w:rPr>
                <w:rFonts w:ascii="Arial Narrow" w:hAnsi="Arial Narrow" w:cs="Tahoma"/>
                <w:b/>
              </w:rPr>
              <w:t xml:space="preserve">               </w:t>
            </w:r>
            <w:r w:rsidR="006B02C8">
              <w:rPr>
                <w:rFonts w:ascii="Arial Narrow" w:hAnsi="Arial Narrow" w:cs="Tahoma"/>
                <w:b/>
              </w:rPr>
              <w:t>Directeur Exécutif de la CGECI</w:t>
            </w:r>
          </w:p>
          <w:p w:rsidR="003A063C" w:rsidRPr="00D01ECB" w:rsidRDefault="003A063C">
            <w:pPr>
              <w:spacing w:after="0" w:line="240" w:lineRule="auto"/>
              <w:ind w:left="360"/>
              <w:rPr>
                <w:rFonts w:ascii="Arial Narrow" w:hAnsi="Arial Narrow" w:cs="Tahoma"/>
                <w:b/>
              </w:rPr>
            </w:pPr>
          </w:p>
        </w:tc>
      </w:tr>
      <w:tr w:rsidR="003A063C" w:rsidRPr="00D01ECB" w:rsidTr="00A06F14">
        <w:trPr>
          <w:trHeight w:val="632"/>
        </w:trPr>
        <w:tc>
          <w:tcPr>
            <w:tcW w:w="6061" w:type="dxa"/>
            <w:hideMark/>
          </w:tcPr>
          <w:p w:rsidR="003A063C" w:rsidRPr="00D01ECB" w:rsidRDefault="00AF7BE1">
            <w:pPr>
              <w:spacing w:after="0"/>
              <w:rPr>
                <w:rFonts w:ascii="Arial Narrow" w:hAnsi="Arial Narrow" w:cs="Tahoma"/>
                <w:b/>
              </w:rPr>
            </w:pPr>
            <w:r w:rsidRPr="00D01ECB">
              <w:rPr>
                <w:rFonts w:ascii="Arial Narrow" w:hAnsi="Arial Narrow" w:cs="Tahoma"/>
                <w:b/>
              </w:rPr>
              <w:t xml:space="preserve">Pôle </w:t>
            </w:r>
            <w:r w:rsidR="000A20C7">
              <w:rPr>
                <w:rFonts w:ascii="Arial Narrow" w:hAnsi="Arial Narrow" w:cs="Tahoma"/>
                <w:b/>
              </w:rPr>
              <w:t>Développement Durable</w:t>
            </w:r>
          </w:p>
          <w:p w:rsidR="00AF7BE1" w:rsidRPr="00D01ECB" w:rsidRDefault="00AF7BE1">
            <w:pPr>
              <w:spacing w:after="0"/>
              <w:rPr>
                <w:rFonts w:ascii="Arial Narrow" w:hAnsi="Arial Narrow" w:cs="Tahoma"/>
                <w:b/>
              </w:rPr>
            </w:pPr>
          </w:p>
        </w:tc>
        <w:tc>
          <w:tcPr>
            <w:tcW w:w="4713" w:type="dxa"/>
          </w:tcPr>
          <w:p w:rsidR="003A063C" w:rsidRPr="005C45DC" w:rsidRDefault="003A063C" w:rsidP="005C45DC">
            <w:pPr>
              <w:spacing w:after="0"/>
              <w:rPr>
                <w:rFonts w:ascii="Arial Narrow" w:hAnsi="Arial Narrow" w:cs="Tahoma"/>
                <w:b/>
              </w:rPr>
            </w:pPr>
          </w:p>
        </w:tc>
      </w:tr>
      <w:tr w:rsidR="003A063C" w:rsidRPr="00D01ECB" w:rsidTr="00A06F14">
        <w:tc>
          <w:tcPr>
            <w:tcW w:w="10774" w:type="dxa"/>
            <w:gridSpan w:val="2"/>
            <w:hideMark/>
          </w:tcPr>
          <w:p w:rsidR="003A063C" w:rsidRPr="00D01ECB" w:rsidRDefault="003A063C">
            <w:pPr>
              <w:spacing w:after="0"/>
              <w:rPr>
                <w:rFonts w:ascii="Arial Narrow" w:hAnsi="Arial Narrow" w:cs="Tahoma"/>
                <w:b/>
              </w:rPr>
            </w:pPr>
          </w:p>
        </w:tc>
      </w:tr>
    </w:tbl>
    <w:p w:rsidR="003A063C" w:rsidRPr="00D01ECB" w:rsidRDefault="003A063C" w:rsidP="003A063C">
      <w:pPr>
        <w:rPr>
          <w:rFonts w:ascii="Arial Narrow" w:hAnsi="Arial Narrow" w:cs="Tahoma"/>
          <w:b/>
        </w:rPr>
      </w:pPr>
    </w:p>
    <w:tbl>
      <w:tblPr>
        <w:tblStyle w:val="Grilledutableau"/>
        <w:tblW w:w="10207" w:type="dxa"/>
        <w:tblInd w:w="-318" w:type="dxa"/>
        <w:tblLook w:val="04A0" w:firstRow="1" w:lastRow="0" w:firstColumn="1" w:lastColumn="0" w:noHBand="0" w:noVBand="1"/>
      </w:tblPr>
      <w:tblGrid>
        <w:gridCol w:w="2155"/>
        <w:gridCol w:w="8052"/>
      </w:tblGrid>
      <w:tr w:rsidR="003A063C" w:rsidRPr="00D01ECB" w:rsidTr="00517E1D">
        <w:trPr>
          <w:trHeight w:val="465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3C" w:rsidRPr="00D01ECB" w:rsidRDefault="006B02C8" w:rsidP="009479DC">
            <w:pPr>
              <w:spacing w:after="0" w:line="240" w:lineRule="auto"/>
              <w:jc w:val="both"/>
              <w:rPr>
                <w:rFonts w:ascii="Arial Narrow" w:hAnsi="Arial Narrow" w:cs="Tahoma"/>
                <w:b/>
              </w:rPr>
            </w:pPr>
            <w:r>
              <w:rPr>
                <w:rFonts w:ascii="Arial Narrow" w:hAnsi="Arial Narrow" w:cs="Tahoma"/>
                <w:b/>
              </w:rPr>
              <w:t>Objet de la note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3C" w:rsidRPr="00D01ECB" w:rsidRDefault="006B02C8" w:rsidP="0080663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Présentation du dossier « fiscalité environnementale » suivi par la Commission Energie et QHSE de la CGECI</w:t>
            </w:r>
          </w:p>
        </w:tc>
      </w:tr>
      <w:tr w:rsidR="003A063C" w:rsidRPr="00D01ECB" w:rsidTr="00AF7BE1">
        <w:trPr>
          <w:trHeight w:val="351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3C" w:rsidRPr="00D01ECB" w:rsidRDefault="0063639B" w:rsidP="009479DC">
            <w:pPr>
              <w:spacing w:after="0"/>
              <w:jc w:val="both"/>
              <w:rPr>
                <w:rFonts w:ascii="Arial Narrow" w:hAnsi="Arial Narrow" w:cs="Tahoma"/>
                <w:b/>
              </w:rPr>
            </w:pPr>
            <w:r>
              <w:rPr>
                <w:rFonts w:ascii="Arial Narrow" w:hAnsi="Arial Narrow" w:cs="Tahoma"/>
                <w:b/>
              </w:rPr>
              <w:t>Introduction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E1D" w:rsidRDefault="00BC6B8A" w:rsidP="00BC6B8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 xml:space="preserve">Au nombre des préoccupations portées à l’attention de l’Etat par la CGECI dans le cadre des rencontres  </w:t>
            </w:r>
            <w:r w:rsidR="00DE5F7A">
              <w:rPr>
                <w:rFonts w:ascii="Arial Narrow" w:hAnsi="Arial Narrow" w:cs="Tahoma"/>
              </w:rPr>
              <w:t xml:space="preserve">du CCESP (Comité de Concertation Etat/Secteur Privé), </w:t>
            </w:r>
            <w:r w:rsidR="00DE5F7A" w:rsidRPr="005C45DC">
              <w:rPr>
                <w:rFonts w:ascii="Arial Narrow" w:hAnsi="Arial Narrow" w:cs="Tahoma"/>
                <w:b/>
              </w:rPr>
              <w:t>figure la question de la fiscalité environnementale associée à la problématique relative aux missions des services publics en charge de l’environnement</w:t>
            </w:r>
            <w:r w:rsidR="00DE5F7A">
              <w:rPr>
                <w:rFonts w:ascii="Arial Narrow" w:hAnsi="Arial Narrow" w:cs="Tahoma"/>
              </w:rPr>
              <w:t xml:space="preserve"> à savoir le Centre Ivoirien Anti-pollution (CIAPOL) et l’Agence Nationale de l’Environnement (ANDE).</w:t>
            </w:r>
          </w:p>
          <w:p w:rsidR="006820D0" w:rsidRDefault="006820D0" w:rsidP="00BC6B8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ahoma"/>
              </w:rPr>
            </w:pPr>
          </w:p>
          <w:p w:rsidR="00605C81" w:rsidRDefault="00DE5F7A" w:rsidP="00605C81">
            <w:pPr>
              <w:pStyle w:val="Paragraphedeliste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La préoccupation de la CGECI concernant la fiscalité environnementale est qu’il existerait un nombre prépondérant de taxes collectées par l’Ad</w:t>
            </w:r>
            <w:r w:rsidR="00605C81">
              <w:rPr>
                <w:rFonts w:ascii="Arial Narrow" w:hAnsi="Arial Narrow" w:cs="Tahoma"/>
              </w:rPr>
              <w:t>ministration en faveur de l’environnement qui sont de nature à impacter la compétitivité des entreprises nationales ; elle décrie également la gestion opaque de ces ressources fiscales qui la plupart du temps ne servent pas toujours au motif pour lequel elles sont collectées (Ex : certaines taxes concernant l’élimination de certains déchets industriels sont affectées au Trésor et ne sont pas ensuite redistribuées aux services chargés d’assurer le servic</w:t>
            </w:r>
            <w:r w:rsidR="005C45DC">
              <w:rPr>
                <w:rFonts w:ascii="Arial Narrow" w:hAnsi="Arial Narrow" w:cs="Tahoma"/>
              </w:rPr>
              <w:t xml:space="preserve">e de collecte et de traitement) et enfin la CGECI estime qu’il existe au niveau national très peu d’incitations fiscales au profit </w:t>
            </w:r>
            <w:r w:rsidR="000E200D">
              <w:rPr>
                <w:rFonts w:ascii="Arial Narrow" w:hAnsi="Arial Narrow" w:cs="Tahoma"/>
              </w:rPr>
              <w:t>des entreprises engagées dans la</w:t>
            </w:r>
            <w:r w:rsidR="005C45DC">
              <w:rPr>
                <w:rFonts w:ascii="Arial Narrow" w:hAnsi="Arial Narrow" w:cs="Tahoma"/>
              </w:rPr>
              <w:t xml:space="preserve"> protection de l’environnement ;</w:t>
            </w:r>
          </w:p>
          <w:p w:rsidR="005C45DC" w:rsidRDefault="005C45DC" w:rsidP="005C45DC">
            <w:pPr>
              <w:pStyle w:val="Paragraphedeliste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ahoma"/>
              </w:rPr>
            </w:pPr>
          </w:p>
          <w:p w:rsidR="00012B53" w:rsidRPr="00012B53" w:rsidRDefault="00605C81" w:rsidP="00663748">
            <w:pPr>
              <w:pStyle w:val="Paragraphedeliste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S’agissant des missions des Agences de l’Etat</w:t>
            </w:r>
            <w:r w:rsidR="00012B53">
              <w:rPr>
                <w:rFonts w:ascii="Arial Narrow" w:hAnsi="Arial Narrow" w:cs="Tahoma"/>
              </w:rPr>
              <w:t xml:space="preserve"> en charge de l’environnement</w:t>
            </w:r>
            <w:r>
              <w:rPr>
                <w:rFonts w:ascii="Arial Narrow" w:hAnsi="Arial Narrow" w:cs="Tahoma"/>
              </w:rPr>
              <w:t xml:space="preserve">, la CGECI a pu constater après une enquête </w:t>
            </w:r>
            <w:r w:rsidR="00012B53">
              <w:rPr>
                <w:rFonts w:ascii="Arial Narrow" w:hAnsi="Arial Narrow" w:cs="Tahoma"/>
              </w:rPr>
              <w:t xml:space="preserve">menée </w:t>
            </w:r>
            <w:r>
              <w:rPr>
                <w:rFonts w:ascii="Arial Narrow" w:hAnsi="Arial Narrow" w:cs="Tahoma"/>
              </w:rPr>
              <w:t>auprès de ses membres, que le CIAPOL et l’</w:t>
            </w:r>
            <w:r w:rsidR="00012B53">
              <w:rPr>
                <w:rFonts w:ascii="Arial Narrow" w:hAnsi="Arial Narrow" w:cs="Tahoma"/>
              </w:rPr>
              <w:t xml:space="preserve">ANDE procédaient </w:t>
            </w:r>
            <w:r w:rsidR="005C45DC">
              <w:rPr>
                <w:rFonts w:ascii="Arial Narrow" w:hAnsi="Arial Narrow" w:cs="Tahoma"/>
              </w:rPr>
              <w:t xml:space="preserve">toutes les deux aux inspections des installations classées (ICPE) donnant lieu </w:t>
            </w:r>
            <w:r w:rsidR="00012B53">
              <w:rPr>
                <w:rFonts w:ascii="Arial Narrow" w:hAnsi="Arial Narrow" w:cs="Tahoma"/>
              </w:rPr>
              <w:t xml:space="preserve">ainsi à des doublons dans le paiement </w:t>
            </w:r>
            <w:r w:rsidR="002A6490">
              <w:rPr>
                <w:rFonts w:ascii="Arial Narrow" w:hAnsi="Arial Narrow" w:cs="Tahoma"/>
              </w:rPr>
              <w:t>de ces</w:t>
            </w:r>
            <w:r w:rsidR="00012B53">
              <w:rPr>
                <w:rFonts w:ascii="Arial Narrow" w:hAnsi="Arial Narrow" w:cs="Tahoma"/>
              </w:rPr>
              <w:t xml:space="preserve"> prestations : l’exemple le plus palpable est le suivi environnemental des entreprises </w:t>
            </w:r>
            <w:r w:rsidR="005C45DC">
              <w:rPr>
                <w:rFonts w:ascii="Arial Narrow" w:hAnsi="Arial Narrow" w:cs="Tahoma"/>
              </w:rPr>
              <w:t>des ICPE assuré simultanément</w:t>
            </w:r>
            <w:r w:rsidR="00012B53">
              <w:rPr>
                <w:rFonts w:ascii="Arial Narrow" w:hAnsi="Arial Narrow" w:cs="Tahoma"/>
              </w:rPr>
              <w:t xml:space="preserve"> par </w:t>
            </w:r>
            <w:r w:rsidR="00663748">
              <w:rPr>
                <w:rFonts w:ascii="Arial Narrow" w:hAnsi="Arial Narrow" w:cs="Tahoma"/>
              </w:rPr>
              <w:t>les</w:t>
            </w:r>
            <w:r w:rsidR="00012B53">
              <w:rPr>
                <w:rFonts w:ascii="Arial Narrow" w:hAnsi="Arial Narrow" w:cs="Tahoma"/>
              </w:rPr>
              <w:t xml:space="preserve"> deux entités (ce qui est contraire à la réglementation en vigueur</w:t>
            </w:r>
            <w:r w:rsidR="005C45DC">
              <w:rPr>
                <w:rFonts w:ascii="Arial Narrow" w:hAnsi="Arial Narrow" w:cs="Tahoma"/>
              </w:rPr>
              <w:t>, Code de l’environnement de 1995</w:t>
            </w:r>
            <w:r w:rsidR="00012B53">
              <w:rPr>
                <w:rFonts w:ascii="Arial Narrow" w:hAnsi="Arial Narrow" w:cs="Tahoma"/>
              </w:rPr>
              <w:t>).</w:t>
            </w:r>
          </w:p>
        </w:tc>
      </w:tr>
      <w:tr w:rsidR="00517E1D" w:rsidRPr="00D01ECB" w:rsidTr="00FC540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E1D" w:rsidRPr="00D01ECB" w:rsidRDefault="006B02C8" w:rsidP="002C1F3D">
            <w:pPr>
              <w:spacing w:after="0" w:line="360" w:lineRule="auto"/>
              <w:jc w:val="both"/>
              <w:rPr>
                <w:rFonts w:ascii="Arial Narrow" w:hAnsi="Arial Narrow" w:cs="Tahoma"/>
                <w:b/>
              </w:rPr>
            </w:pPr>
            <w:r>
              <w:rPr>
                <w:rFonts w:ascii="Arial Narrow" w:hAnsi="Arial Narrow" w:cs="Tahoma"/>
                <w:b/>
              </w:rPr>
              <w:t>Evolution du dossier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E1D" w:rsidRDefault="006820D0" w:rsidP="00012B5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 xml:space="preserve">Afin d’apporter une réponse durable à ces différentes </w:t>
            </w:r>
            <w:r w:rsidR="00012B53">
              <w:rPr>
                <w:rFonts w:ascii="Arial Narrow" w:hAnsi="Arial Narrow" w:cs="Tahoma"/>
              </w:rPr>
              <w:t>préoccupation</w:t>
            </w:r>
            <w:r w:rsidR="005C45DC">
              <w:rPr>
                <w:rFonts w:ascii="Arial Narrow" w:hAnsi="Arial Narrow" w:cs="Tahoma"/>
              </w:rPr>
              <w:t>s</w:t>
            </w:r>
            <w:r w:rsidR="00012B53">
              <w:rPr>
                <w:rFonts w:ascii="Arial Narrow" w:hAnsi="Arial Narrow" w:cs="Tahoma"/>
              </w:rPr>
              <w:t xml:space="preserve"> </w:t>
            </w:r>
            <w:r>
              <w:rPr>
                <w:rFonts w:ascii="Arial Narrow" w:hAnsi="Arial Narrow" w:cs="Tahoma"/>
              </w:rPr>
              <w:t>portées à l’attention du</w:t>
            </w:r>
            <w:r w:rsidR="00012B53">
              <w:rPr>
                <w:rFonts w:ascii="Arial Narrow" w:hAnsi="Arial Narrow" w:cs="Tahoma"/>
              </w:rPr>
              <w:t xml:space="preserve"> CCESP,</w:t>
            </w:r>
            <w:r w:rsidR="005C45DC">
              <w:rPr>
                <w:rFonts w:ascii="Arial Narrow" w:hAnsi="Arial Narrow" w:cs="Tahoma"/>
              </w:rPr>
              <w:t xml:space="preserve"> il a été décidé </w:t>
            </w:r>
            <w:r>
              <w:rPr>
                <w:rFonts w:ascii="Arial Narrow" w:hAnsi="Arial Narrow" w:cs="Tahoma"/>
              </w:rPr>
              <w:t xml:space="preserve">la mise </w:t>
            </w:r>
            <w:r w:rsidR="005C45DC">
              <w:rPr>
                <w:rFonts w:ascii="Arial Narrow" w:hAnsi="Arial Narrow" w:cs="Tahoma"/>
              </w:rPr>
              <w:t>place</w:t>
            </w:r>
            <w:r w:rsidR="00012B53">
              <w:rPr>
                <w:rFonts w:ascii="Arial Narrow" w:hAnsi="Arial Narrow" w:cs="Tahoma"/>
              </w:rPr>
              <w:t xml:space="preserve"> un groupe de travail composé </w:t>
            </w:r>
            <w:r w:rsidR="00AC5482">
              <w:rPr>
                <w:rFonts w:ascii="Arial Narrow" w:hAnsi="Arial Narrow" w:cs="Tahoma"/>
              </w:rPr>
              <w:t xml:space="preserve">aussi bien </w:t>
            </w:r>
            <w:r w:rsidR="00012B53">
              <w:rPr>
                <w:rFonts w:ascii="Arial Narrow" w:hAnsi="Arial Narrow" w:cs="Tahoma"/>
              </w:rPr>
              <w:t>des représentants du Ministère de</w:t>
            </w:r>
            <w:r>
              <w:rPr>
                <w:rFonts w:ascii="Arial Narrow" w:hAnsi="Arial Narrow" w:cs="Tahoma"/>
              </w:rPr>
              <w:t xml:space="preserve"> l’Environnement </w:t>
            </w:r>
            <w:r w:rsidR="00AC5482">
              <w:rPr>
                <w:rFonts w:ascii="Arial Narrow" w:hAnsi="Arial Narrow" w:cs="Tahoma"/>
              </w:rPr>
              <w:t>que</w:t>
            </w:r>
            <w:r>
              <w:rPr>
                <w:rFonts w:ascii="Arial Narrow" w:hAnsi="Arial Narrow" w:cs="Tahoma"/>
              </w:rPr>
              <w:t xml:space="preserve"> de la CGECI.</w:t>
            </w:r>
          </w:p>
          <w:p w:rsidR="006820D0" w:rsidRDefault="006820D0" w:rsidP="00012B5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ahoma"/>
              </w:rPr>
            </w:pPr>
          </w:p>
          <w:p w:rsidR="00A04D1E" w:rsidRPr="005C45DC" w:rsidRDefault="00012B53" w:rsidP="00A04D1E">
            <w:pPr>
              <w:pStyle w:val="Paragraphedeliste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ahoma"/>
                <w:b/>
              </w:rPr>
            </w:pPr>
            <w:r>
              <w:rPr>
                <w:rFonts w:ascii="Arial Narrow" w:hAnsi="Arial Narrow" w:cs="Tahoma"/>
              </w:rPr>
              <w:t>Concernant la clarification des missions de l’ANDE et du CIAPOL, plusieurs réunions se sont tenues sur la question avec l’ensemble des acteurs (CIAPOL, ANDE, CGECI) ; elles ont permis de faire la lumière sur</w:t>
            </w:r>
            <w:r w:rsidR="005C45DC">
              <w:rPr>
                <w:rFonts w:ascii="Arial Narrow" w:hAnsi="Arial Narrow" w:cs="Tahoma"/>
              </w:rPr>
              <w:t xml:space="preserve"> le rôle de ces 2 entités </w:t>
            </w:r>
            <w:r w:rsidR="00BC633D">
              <w:rPr>
                <w:rFonts w:ascii="Arial Narrow" w:hAnsi="Arial Narrow" w:cs="Tahoma"/>
              </w:rPr>
              <w:t>dans le cadre du</w:t>
            </w:r>
            <w:r w:rsidR="005C45DC">
              <w:rPr>
                <w:rFonts w:ascii="Arial Narrow" w:hAnsi="Arial Narrow" w:cs="Tahoma"/>
              </w:rPr>
              <w:t xml:space="preserve"> suivi environnemental des installations classées (ICPE)</w:t>
            </w:r>
            <w:r w:rsidR="00D12940">
              <w:rPr>
                <w:rFonts w:ascii="Arial Narrow" w:hAnsi="Arial Narrow" w:cs="Tahoma"/>
              </w:rPr>
              <w:t xml:space="preserve"> </w:t>
            </w:r>
            <w:r>
              <w:rPr>
                <w:rFonts w:ascii="Arial Narrow" w:hAnsi="Arial Narrow" w:cs="Tahoma"/>
              </w:rPr>
              <w:t xml:space="preserve">: </w:t>
            </w:r>
            <w:r w:rsidR="005C45DC">
              <w:rPr>
                <w:rFonts w:ascii="Arial Narrow" w:hAnsi="Arial Narrow" w:cs="Tahoma"/>
                <w:b/>
              </w:rPr>
              <w:t>A retenir</w:t>
            </w:r>
            <w:r>
              <w:rPr>
                <w:rFonts w:ascii="Arial Narrow" w:hAnsi="Arial Narrow" w:cs="Tahoma"/>
              </w:rPr>
              <w:t xml:space="preserve"> : </w:t>
            </w:r>
            <w:r w:rsidRPr="00A04D1E">
              <w:rPr>
                <w:rFonts w:ascii="Arial Narrow" w:hAnsi="Arial Narrow" w:cs="Tahoma"/>
              </w:rPr>
              <w:t xml:space="preserve">le CIAPOL est la seule agence de l’Etat chargée d’assurer </w:t>
            </w:r>
            <w:r w:rsidR="005C45DC">
              <w:rPr>
                <w:rFonts w:ascii="Arial Narrow" w:hAnsi="Arial Narrow" w:cs="Tahoma"/>
              </w:rPr>
              <w:t>le suivi environnemental des</w:t>
            </w:r>
            <w:r w:rsidR="00D12940">
              <w:rPr>
                <w:rFonts w:ascii="Arial Narrow" w:hAnsi="Arial Narrow" w:cs="Tahoma"/>
              </w:rPr>
              <w:t xml:space="preserve"> ICPE (</w:t>
            </w:r>
            <w:r w:rsidRPr="00A04D1E">
              <w:rPr>
                <w:rFonts w:ascii="Arial Narrow" w:hAnsi="Arial Narrow" w:cs="Tahoma"/>
              </w:rPr>
              <w:t xml:space="preserve">Installations Classées pour la Protection de l’Environnement) et non l’ANDE ; cette dernière n’est compétente que pour assurer le suivi environnemental des entreprise non – industriels c’est-à-dire </w:t>
            </w:r>
            <w:r w:rsidR="005C45DC">
              <w:rPr>
                <w:rFonts w:ascii="Arial Narrow" w:hAnsi="Arial Narrow" w:cs="Tahoma"/>
              </w:rPr>
              <w:t xml:space="preserve">des entreprises </w:t>
            </w:r>
            <w:r w:rsidRPr="00A04D1E">
              <w:rPr>
                <w:rFonts w:ascii="Arial Narrow" w:hAnsi="Arial Narrow" w:cs="Tahoma"/>
              </w:rPr>
              <w:t>hors ICPE</w:t>
            </w:r>
            <w:r w:rsidR="00A04D1E" w:rsidRPr="00A04D1E">
              <w:rPr>
                <w:rFonts w:ascii="Arial Narrow" w:hAnsi="Arial Narrow" w:cs="Tahoma"/>
              </w:rPr>
              <w:t>. Cette clarification permet désormais d’éviter le double emploi que subissaient les entreprises industrielles en matière de suivi environnemental</w:t>
            </w:r>
            <w:r w:rsidR="00A04D1E">
              <w:rPr>
                <w:rFonts w:ascii="Arial Narrow" w:hAnsi="Arial Narrow" w:cs="Tahoma"/>
              </w:rPr>
              <w:t xml:space="preserve">. </w:t>
            </w:r>
            <w:r w:rsidR="005C45DC" w:rsidRPr="005C45DC">
              <w:rPr>
                <w:rFonts w:ascii="Arial Narrow" w:hAnsi="Arial Narrow" w:cs="Tahoma"/>
                <w:b/>
              </w:rPr>
              <w:t>Cette 1</w:t>
            </w:r>
            <w:r w:rsidR="005C45DC" w:rsidRPr="005C45DC">
              <w:rPr>
                <w:rFonts w:ascii="Arial Narrow" w:hAnsi="Arial Narrow" w:cs="Tahoma"/>
                <w:b/>
                <w:vertAlign w:val="superscript"/>
              </w:rPr>
              <w:t>ère</w:t>
            </w:r>
            <w:r w:rsidR="005C45DC" w:rsidRPr="005C45DC">
              <w:rPr>
                <w:rFonts w:ascii="Arial Narrow" w:hAnsi="Arial Narrow" w:cs="Tahoma"/>
                <w:b/>
              </w:rPr>
              <w:t xml:space="preserve"> préoccupation </w:t>
            </w:r>
            <w:r w:rsidR="00C20EF7">
              <w:rPr>
                <w:rFonts w:ascii="Arial Narrow" w:hAnsi="Arial Narrow" w:cs="Tahoma"/>
                <w:b/>
              </w:rPr>
              <w:t xml:space="preserve">rattachée à la question de la fiscalité environnementale </w:t>
            </w:r>
            <w:r w:rsidR="00D12940">
              <w:rPr>
                <w:rFonts w:ascii="Arial Narrow" w:hAnsi="Arial Narrow" w:cs="Tahoma"/>
                <w:b/>
              </w:rPr>
              <w:t>a donc été traitée pour la plus grande satisfaction de la CGECI.</w:t>
            </w:r>
          </w:p>
          <w:p w:rsidR="005C45DC" w:rsidRDefault="005C45DC" w:rsidP="005C45DC">
            <w:pPr>
              <w:pStyle w:val="Paragraphedeliste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ahoma"/>
              </w:rPr>
            </w:pPr>
          </w:p>
          <w:p w:rsidR="00A04D1E" w:rsidRDefault="00A04D1E" w:rsidP="00A04D1E">
            <w:pPr>
              <w:pStyle w:val="Paragraphedeliste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 xml:space="preserve">S’agissant de </w:t>
            </w:r>
            <w:r w:rsidR="00C20EF7">
              <w:rPr>
                <w:rFonts w:ascii="Arial Narrow" w:hAnsi="Arial Narrow" w:cs="Tahoma"/>
              </w:rPr>
              <w:t xml:space="preserve">la seconde préoccupation relative à </w:t>
            </w:r>
            <w:r>
              <w:rPr>
                <w:rFonts w:ascii="Arial Narrow" w:hAnsi="Arial Narrow" w:cs="Tahoma"/>
              </w:rPr>
              <w:t>la fiscalité environnementale, les positions sont divergentes : selon l’Administrati</w:t>
            </w:r>
            <w:r w:rsidR="00D12940">
              <w:rPr>
                <w:rFonts w:ascii="Arial Narrow" w:hAnsi="Arial Narrow" w:cs="Tahoma"/>
              </w:rPr>
              <w:t>on, il n’existerait pas suffisammen</w:t>
            </w:r>
            <w:r>
              <w:rPr>
                <w:rFonts w:ascii="Arial Narrow" w:hAnsi="Arial Narrow" w:cs="Tahoma"/>
              </w:rPr>
              <w:t xml:space="preserve">t de taxes en Côte d’Ivoire pour financer la protection et la réparation de l’environnement. Pour le </w:t>
            </w:r>
            <w:r>
              <w:rPr>
                <w:rFonts w:ascii="Arial Narrow" w:hAnsi="Arial Narrow" w:cs="Tahoma"/>
              </w:rPr>
              <w:lastRenderedPageBreak/>
              <w:t xml:space="preserve">secteur privé, </w:t>
            </w:r>
            <w:r w:rsidR="00D12940">
              <w:rPr>
                <w:rFonts w:ascii="Arial Narrow" w:hAnsi="Arial Narrow" w:cs="Tahoma"/>
              </w:rPr>
              <w:t>les taxes existantes perçues en la matière sont</w:t>
            </w:r>
            <w:r>
              <w:rPr>
                <w:rFonts w:ascii="Arial Narrow" w:hAnsi="Arial Narrow" w:cs="Tahoma"/>
              </w:rPr>
              <w:t xml:space="preserve"> mal utilisé</w:t>
            </w:r>
            <w:r w:rsidR="00D12940">
              <w:rPr>
                <w:rFonts w:ascii="Arial Narrow" w:hAnsi="Arial Narrow" w:cs="Tahoma"/>
              </w:rPr>
              <w:t>es</w:t>
            </w:r>
            <w:r>
              <w:rPr>
                <w:rFonts w:ascii="Arial Narrow" w:hAnsi="Arial Narrow" w:cs="Tahoma"/>
              </w:rPr>
              <w:t xml:space="preserve"> et reparti</w:t>
            </w:r>
            <w:r w:rsidR="00D12940">
              <w:rPr>
                <w:rFonts w:ascii="Arial Narrow" w:hAnsi="Arial Narrow" w:cs="Tahoma"/>
              </w:rPr>
              <w:t>es</w:t>
            </w:r>
            <w:r>
              <w:rPr>
                <w:rFonts w:ascii="Arial Narrow" w:hAnsi="Arial Narrow" w:cs="Tahoma"/>
              </w:rPr>
              <w:t xml:space="preserve"> ; aussi, </w:t>
            </w:r>
            <w:r w:rsidR="00C20EF7">
              <w:rPr>
                <w:rFonts w:ascii="Arial Narrow" w:hAnsi="Arial Narrow" w:cs="Tahoma"/>
              </w:rPr>
              <w:t>le secteur privé à travers la CGECI fustige</w:t>
            </w:r>
            <w:r>
              <w:rPr>
                <w:rFonts w:ascii="Arial Narrow" w:hAnsi="Arial Narrow" w:cs="Tahoma"/>
              </w:rPr>
              <w:t xml:space="preserve"> </w:t>
            </w:r>
            <w:r w:rsidR="00C20EF7">
              <w:rPr>
                <w:rFonts w:ascii="Arial Narrow" w:hAnsi="Arial Narrow" w:cs="Tahoma"/>
              </w:rPr>
              <w:t>le</w:t>
            </w:r>
            <w:r>
              <w:rPr>
                <w:rFonts w:ascii="Arial Narrow" w:hAnsi="Arial Narrow" w:cs="Tahoma"/>
              </w:rPr>
              <w:t xml:space="preserve"> cadre </w:t>
            </w:r>
            <w:r w:rsidR="00C20EF7">
              <w:rPr>
                <w:rFonts w:ascii="Arial Narrow" w:hAnsi="Arial Narrow" w:cs="Tahoma"/>
              </w:rPr>
              <w:t xml:space="preserve">très peu </w:t>
            </w:r>
            <w:r>
              <w:rPr>
                <w:rFonts w:ascii="Arial Narrow" w:hAnsi="Arial Narrow" w:cs="Tahoma"/>
              </w:rPr>
              <w:t xml:space="preserve">incitatif </w:t>
            </w:r>
            <w:r w:rsidR="00C20EF7">
              <w:rPr>
                <w:rFonts w:ascii="Arial Narrow" w:hAnsi="Arial Narrow" w:cs="Tahoma"/>
              </w:rPr>
              <w:t>pour les</w:t>
            </w:r>
            <w:r>
              <w:rPr>
                <w:rFonts w:ascii="Arial Narrow" w:hAnsi="Arial Narrow" w:cs="Tahoma"/>
              </w:rPr>
              <w:t xml:space="preserve"> </w:t>
            </w:r>
            <w:r w:rsidR="00C20EF7">
              <w:rPr>
                <w:rFonts w:ascii="Arial Narrow" w:hAnsi="Arial Narrow" w:cs="Tahoma"/>
              </w:rPr>
              <w:t>initiatives privées</w:t>
            </w:r>
            <w:r>
              <w:rPr>
                <w:rFonts w:ascii="Arial Narrow" w:hAnsi="Arial Narrow" w:cs="Tahoma"/>
              </w:rPr>
              <w:t xml:space="preserve"> </w:t>
            </w:r>
            <w:r w:rsidR="00C20EF7">
              <w:rPr>
                <w:rFonts w:ascii="Arial Narrow" w:hAnsi="Arial Narrow" w:cs="Tahoma"/>
              </w:rPr>
              <w:t>en faveur de l’environnement</w:t>
            </w:r>
            <w:r>
              <w:rPr>
                <w:rFonts w:ascii="Arial Narrow" w:hAnsi="Arial Narrow" w:cs="Tahoma"/>
              </w:rPr>
              <w:t xml:space="preserve">. Tout le système fiscal environnemental </w:t>
            </w:r>
            <w:r w:rsidR="00C20EF7">
              <w:rPr>
                <w:rFonts w:ascii="Arial Narrow" w:hAnsi="Arial Narrow" w:cs="Tahoma"/>
              </w:rPr>
              <w:t xml:space="preserve">ivoirien </w:t>
            </w:r>
            <w:r>
              <w:rPr>
                <w:rFonts w:ascii="Arial Narrow" w:hAnsi="Arial Narrow" w:cs="Tahoma"/>
              </w:rPr>
              <w:t xml:space="preserve">est basé sur une approche </w:t>
            </w:r>
            <w:r w:rsidR="00C20EF7">
              <w:rPr>
                <w:rFonts w:ascii="Arial Narrow" w:hAnsi="Arial Narrow" w:cs="Tahoma"/>
              </w:rPr>
              <w:t xml:space="preserve">essentiellement </w:t>
            </w:r>
            <w:r>
              <w:rPr>
                <w:rFonts w:ascii="Arial Narrow" w:hAnsi="Arial Narrow" w:cs="Tahoma"/>
              </w:rPr>
              <w:t>dissuasive</w:t>
            </w:r>
            <w:r w:rsidR="00C20EF7">
              <w:rPr>
                <w:rFonts w:ascii="Arial Narrow" w:hAnsi="Arial Narrow" w:cs="Tahoma"/>
              </w:rPr>
              <w:t xml:space="preserve"> a indiqué la CGECI :</w:t>
            </w:r>
            <w:r>
              <w:rPr>
                <w:rFonts w:ascii="Arial Narrow" w:hAnsi="Arial Narrow" w:cs="Tahoma"/>
              </w:rPr>
              <w:t xml:space="preserve"> Pour arriver </w:t>
            </w:r>
            <w:r w:rsidR="00C20EF7">
              <w:rPr>
                <w:rFonts w:ascii="Arial Narrow" w:hAnsi="Arial Narrow" w:cs="Tahoma"/>
              </w:rPr>
              <w:t xml:space="preserve">donc </w:t>
            </w:r>
            <w:r>
              <w:rPr>
                <w:rFonts w:ascii="Arial Narrow" w:hAnsi="Arial Narrow" w:cs="Tahoma"/>
              </w:rPr>
              <w:t>à un consensus</w:t>
            </w:r>
            <w:r w:rsidR="00C20EF7">
              <w:rPr>
                <w:rFonts w:ascii="Arial Narrow" w:hAnsi="Arial Narrow" w:cs="Tahoma"/>
              </w:rPr>
              <w:t xml:space="preserve"> sur le sujet</w:t>
            </w:r>
            <w:r>
              <w:rPr>
                <w:rFonts w:ascii="Arial Narrow" w:hAnsi="Arial Narrow" w:cs="Tahoma"/>
              </w:rPr>
              <w:t xml:space="preserve">, le Ministère </w:t>
            </w:r>
            <w:r w:rsidR="00C20EF7">
              <w:rPr>
                <w:rFonts w:ascii="Arial Narrow" w:hAnsi="Arial Narrow" w:cs="Tahoma"/>
              </w:rPr>
              <w:t xml:space="preserve">de l’Environnement </w:t>
            </w:r>
            <w:r>
              <w:rPr>
                <w:rFonts w:ascii="Arial Narrow" w:hAnsi="Arial Narrow" w:cs="Tahoma"/>
              </w:rPr>
              <w:t>et la CGECI ont réalisé de part et d’</w:t>
            </w:r>
            <w:r w:rsidR="00C20EF7">
              <w:rPr>
                <w:rFonts w:ascii="Arial Narrow" w:hAnsi="Arial Narrow" w:cs="Tahoma"/>
              </w:rPr>
              <w:t xml:space="preserve">autre une étude sur la fiscalité environnementale </w:t>
            </w:r>
            <w:r>
              <w:rPr>
                <w:rFonts w:ascii="Arial Narrow" w:hAnsi="Arial Narrow" w:cs="Tahoma"/>
              </w:rPr>
              <w:t xml:space="preserve">afin d’avoir le maximum de données </w:t>
            </w:r>
            <w:r w:rsidR="00C20EF7">
              <w:rPr>
                <w:rFonts w:ascii="Arial Narrow" w:hAnsi="Arial Narrow" w:cs="Tahoma"/>
              </w:rPr>
              <w:t>pour la proposition de mesures consensuelles sur le cadre fiscal environnemental en Côte d’Ivoire (en cours de construction).</w:t>
            </w:r>
          </w:p>
          <w:p w:rsidR="00C20EF7" w:rsidRPr="00C20EF7" w:rsidRDefault="00C20EF7" w:rsidP="00C2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ahoma"/>
              </w:rPr>
            </w:pPr>
          </w:p>
          <w:p w:rsidR="00697737" w:rsidRPr="00697737" w:rsidRDefault="00A04D1E" w:rsidP="00697737">
            <w:pPr>
              <w:pStyle w:val="Paragraphedeliste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L’étude de la CGECI a été réalisée par le Cabinet Traoré Bakari (TBC) : les TDR de l’étude sont attach</w:t>
            </w:r>
            <w:r w:rsidR="00C20EF7">
              <w:rPr>
                <w:rFonts w:ascii="Arial Narrow" w:hAnsi="Arial Narrow" w:cs="Tahoma"/>
              </w:rPr>
              <w:t>és à la présente note.</w:t>
            </w:r>
          </w:p>
        </w:tc>
      </w:tr>
      <w:tr w:rsidR="002C1F3D" w:rsidRPr="00D01ECB" w:rsidTr="00FC540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F3D" w:rsidRPr="00D01ECB" w:rsidRDefault="00A04D1E" w:rsidP="00A04D1E">
            <w:pPr>
              <w:spacing w:after="0" w:line="360" w:lineRule="auto"/>
              <w:jc w:val="both"/>
              <w:rPr>
                <w:rFonts w:ascii="Arial Narrow" w:hAnsi="Arial Narrow" w:cs="Tahoma"/>
                <w:b/>
              </w:rPr>
            </w:pPr>
            <w:r>
              <w:rPr>
                <w:rFonts w:ascii="Arial Narrow" w:hAnsi="Arial Narrow" w:cs="Tahoma"/>
                <w:b/>
              </w:rPr>
              <w:lastRenderedPageBreak/>
              <w:t>Conclusions de l’étude commanditée par la CGECI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60" w:rsidRDefault="00A04D1E" w:rsidP="00492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 xml:space="preserve">L’étude réalisée par la CGECI sur le sujet </w:t>
            </w:r>
            <w:r w:rsidR="006820D0">
              <w:rPr>
                <w:rFonts w:ascii="Arial Narrow" w:hAnsi="Arial Narrow" w:cs="Tahoma"/>
              </w:rPr>
              <w:t>a révélé</w:t>
            </w:r>
            <w:r>
              <w:rPr>
                <w:rFonts w:ascii="Arial Narrow" w:hAnsi="Arial Narrow" w:cs="Tahoma"/>
              </w:rPr>
              <w:t xml:space="preserve"> ceci : </w:t>
            </w:r>
          </w:p>
          <w:p w:rsidR="00D12940" w:rsidRDefault="00D12940" w:rsidP="00492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ahoma"/>
              </w:rPr>
            </w:pPr>
          </w:p>
          <w:p w:rsidR="00A04D1E" w:rsidRDefault="00A04D1E" w:rsidP="00A04D1E">
            <w:pPr>
              <w:pStyle w:val="Paragraphedeliste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L’existence de plusieurs taxes environnementales souvent non perçues par les services de l’Etat en charge de l’Environnement</w:t>
            </w:r>
            <w:r w:rsidR="00116DBD">
              <w:rPr>
                <w:rFonts w:ascii="Arial Narrow" w:hAnsi="Arial Narrow" w:cs="Tahoma"/>
              </w:rPr>
              <w:t xml:space="preserve"> (</w:t>
            </w:r>
            <w:r w:rsidR="000C68B1">
              <w:rPr>
                <w:rFonts w:ascii="Arial Narrow" w:hAnsi="Arial Narrow" w:cs="Tahoma"/>
              </w:rPr>
              <w:t>près de 80</w:t>
            </w:r>
            <w:r w:rsidR="00116DBD">
              <w:rPr>
                <w:rFonts w:ascii="Arial Narrow" w:hAnsi="Arial Narrow" w:cs="Tahoma"/>
              </w:rPr>
              <w:t xml:space="preserve"> taxes</w:t>
            </w:r>
            <w:r w:rsidR="000C68B1">
              <w:rPr>
                <w:rFonts w:ascii="Arial Narrow" w:hAnsi="Arial Narrow" w:cs="Tahoma"/>
              </w:rPr>
              <w:t xml:space="preserve"> prélevées concernant la question environnementale avec des niveaux de recette importants</w:t>
            </w:r>
            <w:r w:rsidR="00697737">
              <w:rPr>
                <w:rFonts w:ascii="Arial Narrow" w:hAnsi="Arial Narrow" w:cs="Tahoma"/>
              </w:rPr>
              <w:t xml:space="preserve"> entre 2.000 et 900.000 milliards de francs CFA</w:t>
            </w:r>
            <w:r w:rsidR="00116DBD">
              <w:rPr>
                <w:rFonts w:ascii="Arial Narrow" w:hAnsi="Arial Narrow" w:cs="Tahoma"/>
              </w:rPr>
              <w:t>)</w:t>
            </w:r>
          </w:p>
          <w:p w:rsidR="001A7CD7" w:rsidRDefault="001A7CD7" w:rsidP="00A04D1E">
            <w:pPr>
              <w:pStyle w:val="Paragraphedeliste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 xml:space="preserve">L’existence </w:t>
            </w:r>
            <w:r w:rsidR="00C20EF7">
              <w:rPr>
                <w:rFonts w:ascii="Arial Narrow" w:hAnsi="Arial Narrow" w:cs="Tahoma"/>
              </w:rPr>
              <w:t>d’un nombre relativement faible des</w:t>
            </w:r>
            <w:r>
              <w:rPr>
                <w:rFonts w:ascii="Arial Narrow" w:hAnsi="Arial Narrow" w:cs="Tahoma"/>
              </w:rPr>
              <w:t xml:space="preserve"> dépenses fiscales </w:t>
            </w:r>
            <w:r w:rsidR="00C20EF7">
              <w:rPr>
                <w:rFonts w:ascii="Arial Narrow" w:hAnsi="Arial Narrow" w:cs="Tahoma"/>
              </w:rPr>
              <w:t>(</w:t>
            </w:r>
            <w:r>
              <w:rPr>
                <w:rFonts w:ascii="Arial Narrow" w:hAnsi="Arial Narrow" w:cs="Tahoma"/>
              </w:rPr>
              <w:t>incitation</w:t>
            </w:r>
            <w:r w:rsidR="00C20EF7">
              <w:rPr>
                <w:rFonts w:ascii="Arial Narrow" w:hAnsi="Arial Narrow" w:cs="Tahoma"/>
              </w:rPr>
              <w:t>s fiscales)</w:t>
            </w:r>
            <w:r>
              <w:rPr>
                <w:rFonts w:ascii="Arial Narrow" w:hAnsi="Arial Narrow" w:cs="Tahoma"/>
              </w:rPr>
              <w:t xml:space="preserve"> engagées par l’Etat pour la question de l’Environnement (très peu d’incitations fiscales)</w:t>
            </w:r>
            <w:r w:rsidR="00C20EF7">
              <w:rPr>
                <w:rFonts w:ascii="Arial Narrow" w:hAnsi="Arial Narrow" w:cs="Tahoma"/>
              </w:rPr>
              <w:t> : cela confirme la position de la CGECI sur cette question</w:t>
            </w:r>
          </w:p>
          <w:p w:rsidR="001A7CD7" w:rsidRDefault="001A7CD7" w:rsidP="001A7CD7">
            <w:pPr>
              <w:pStyle w:val="Paragraphedeliste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La fiscalité environnementale ne peut être ad vitam aeternam </w:t>
            </w:r>
            <w:r w:rsidR="00C20EF7">
              <w:rPr>
                <w:rFonts w:ascii="Arial Narrow" w:hAnsi="Arial Narrow" w:cs="Tahoma"/>
              </w:rPr>
              <w:t xml:space="preserve">i.e. c’est-à-dire instituée pour la vie </w:t>
            </w:r>
            <w:r>
              <w:rPr>
                <w:rFonts w:ascii="Arial Narrow" w:hAnsi="Arial Narrow" w:cs="Tahoma"/>
              </w:rPr>
              <w:t xml:space="preserve">: elle est en principe instaurée afin de régler un problème ponctuel (pollution d’un site : une fiscalité </w:t>
            </w:r>
            <w:r w:rsidR="00C20EF7">
              <w:rPr>
                <w:rFonts w:ascii="Arial Narrow" w:hAnsi="Arial Narrow" w:cs="Tahoma"/>
              </w:rPr>
              <w:t xml:space="preserve">environnementale </w:t>
            </w:r>
            <w:r>
              <w:rPr>
                <w:rFonts w:ascii="Arial Narrow" w:hAnsi="Arial Narrow" w:cs="Tahoma"/>
              </w:rPr>
              <w:t>est instaurée </w:t>
            </w:r>
            <w:r w:rsidR="00C20EF7">
              <w:rPr>
                <w:rFonts w:ascii="Arial Narrow" w:hAnsi="Arial Narrow" w:cs="Tahoma"/>
              </w:rPr>
              <w:t>en vue de la dépollution du site</w:t>
            </w:r>
            <w:r>
              <w:rPr>
                <w:rFonts w:ascii="Arial Narrow" w:hAnsi="Arial Narrow" w:cs="Tahoma"/>
              </w:rPr>
              <w:t xml:space="preserve">; </w:t>
            </w:r>
            <w:r w:rsidR="00C20EF7">
              <w:rPr>
                <w:rFonts w:ascii="Arial Narrow" w:hAnsi="Arial Narrow" w:cs="Tahoma"/>
              </w:rPr>
              <w:t>lorsque cette dépollution est terminée et le site restauré, cette fiscalité doit disparaitre) : ce qui n’est pas le cas de certaines taxes environnementales en Côte d’Ivoire.</w:t>
            </w:r>
          </w:p>
          <w:p w:rsidR="001A7CD7" w:rsidRPr="00A04D1E" w:rsidRDefault="001A7CD7" w:rsidP="00C20EF7">
            <w:pPr>
              <w:pStyle w:val="Paragraphedeliste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 xml:space="preserve">La fiscalité environnementale </w:t>
            </w:r>
            <w:r w:rsidR="00C20EF7">
              <w:rPr>
                <w:rFonts w:ascii="Arial Narrow" w:hAnsi="Arial Narrow" w:cs="Tahoma"/>
              </w:rPr>
              <w:t>doit être</w:t>
            </w:r>
            <w:r>
              <w:rPr>
                <w:rFonts w:ascii="Arial Narrow" w:hAnsi="Arial Narrow" w:cs="Tahoma"/>
              </w:rPr>
              <w:t xml:space="preserve"> conduite avec précaution </w:t>
            </w:r>
            <w:r w:rsidR="00C20EF7">
              <w:rPr>
                <w:rFonts w:ascii="Arial Narrow" w:hAnsi="Arial Narrow" w:cs="Tahoma"/>
              </w:rPr>
              <w:t xml:space="preserve">afin de prévenir les répercussions qu’elle </w:t>
            </w:r>
            <w:r>
              <w:rPr>
                <w:rFonts w:ascii="Arial Narrow" w:hAnsi="Arial Narrow" w:cs="Tahoma"/>
              </w:rPr>
              <w:t xml:space="preserve">peut avoir </w:t>
            </w:r>
            <w:r w:rsidR="00C20EF7">
              <w:rPr>
                <w:rFonts w:ascii="Arial Narrow" w:hAnsi="Arial Narrow" w:cs="Tahoma"/>
              </w:rPr>
              <w:t xml:space="preserve">d’un point de vue social et économique (taxes sur les véhicules usagers, sur le gasoil etc.). </w:t>
            </w:r>
            <w:r>
              <w:rPr>
                <w:rFonts w:ascii="Arial Narrow" w:hAnsi="Arial Narrow" w:cs="Tahoma"/>
              </w:rPr>
              <w:t xml:space="preserve"> </w:t>
            </w:r>
          </w:p>
        </w:tc>
      </w:tr>
      <w:tr w:rsidR="003A063C" w:rsidRPr="00D01ECB" w:rsidTr="00FC5400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3C" w:rsidRPr="00D01ECB" w:rsidRDefault="00A04D1E" w:rsidP="009479DC">
            <w:pPr>
              <w:spacing w:after="0"/>
              <w:jc w:val="both"/>
              <w:rPr>
                <w:rFonts w:ascii="Arial Narrow" w:hAnsi="Arial Narrow" w:cs="Tahoma"/>
                <w:b/>
              </w:rPr>
            </w:pPr>
            <w:r>
              <w:rPr>
                <w:rFonts w:ascii="Arial Narrow" w:hAnsi="Arial Narrow" w:cs="Tahoma"/>
                <w:b/>
              </w:rPr>
              <w:t>Prochaines étapes</w:t>
            </w:r>
          </w:p>
        </w:tc>
        <w:tc>
          <w:tcPr>
            <w:tcW w:w="8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EBD" w:rsidRDefault="00697737" w:rsidP="006363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 xml:space="preserve">Les 2 études </w:t>
            </w:r>
            <w:r w:rsidR="00C20EF7">
              <w:rPr>
                <w:rFonts w:ascii="Arial Narrow" w:hAnsi="Arial Narrow" w:cs="Tahoma"/>
              </w:rPr>
              <w:t>réalisées sur</w:t>
            </w:r>
            <w:r>
              <w:rPr>
                <w:rFonts w:ascii="Arial Narrow" w:hAnsi="Arial Narrow" w:cs="Tahoma"/>
              </w:rPr>
              <w:t xml:space="preserve"> la fiscalité environnementale étant terminées, il </w:t>
            </w:r>
            <w:r w:rsidR="00C20EF7">
              <w:rPr>
                <w:rFonts w:ascii="Arial Narrow" w:hAnsi="Arial Narrow" w:cs="Tahoma"/>
              </w:rPr>
              <w:t>appartient désormais aux acteurs (CGECI &amp; MINEDD)</w:t>
            </w:r>
            <w:r>
              <w:rPr>
                <w:rFonts w:ascii="Arial Narrow" w:hAnsi="Arial Narrow" w:cs="Tahoma"/>
              </w:rPr>
              <w:t xml:space="preserve"> d’aller à un atelier </w:t>
            </w:r>
            <w:r w:rsidR="008C3E4F">
              <w:rPr>
                <w:rFonts w:ascii="Arial Narrow" w:hAnsi="Arial Narrow" w:cs="Tahoma"/>
              </w:rPr>
              <w:t>afin de procéder à</w:t>
            </w:r>
            <w:r>
              <w:rPr>
                <w:rFonts w:ascii="Arial Narrow" w:hAnsi="Arial Narrow" w:cs="Tahoma"/>
              </w:rPr>
              <w:t xml:space="preserve"> l’analyse des recommandations formulées par </w:t>
            </w:r>
            <w:r w:rsidR="008C3E4F">
              <w:rPr>
                <w:rFonts w:ascii="Arial Narrow" w:hAnsi="Arial Narrow" w:cs="Tahoma"/>
              </w:rPr>
              <w:t xml:space="preserve">les dites études et de lancer les travaux de préparation du projet de décret sur la fiscalité </w:t>
            </w:r>
            <w:r>
              <w:rPr>
                <w:rFonts w:ascii="Arial Narrow" w:hAnsi="Arial Narrow" w:cs="Tahoma"/>
              </w:rPr>
              <w:t>environnementale en Côte d’</w:t>
            </w:r>
            <w:r w:rsidR="008C3E4F">
              <w:rPr>
                <w:rFonts w:ascii="Arial Narrow" w:hAnsi="Arial Narrow" w:cs="Tahoma"/>
              </w:rPr>
              <w:t>Ivoire (texte qui devra prendre</w:t>
            </w:r>
            <w:r>
              <w:rPr>
                <w:rFonts w:ascii="Arial Narrow" w:hAnsi="Arial Narrow" w:cs="Tahoma"/>
              </w:rPr>
              <w:t xml:space="preserve"> en compte aussi bien les impératifs économiques que l’urgence environnementale).</w:t>
            </w:r>
          </w:p>
          <w:p w:rsidR="005C45DC" w:rsidRDefault="005C45DC" w:rsidP="0063639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ahoma"/>
              </w:rPr>
            </w:pPr>
          </w:p>
          <w:p w:rsidR="00697737" w:rsidRPr="0063639B" w:rsidRDefault="00697737" w:rsidP="00CE7F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 xml:space="preserve">A cet effet, des rencontres ont eu lieu entre le Ministère et la CGECI afin de préparer </w:t>
            </w:r>
            <w:r w:rsidR="008C3E4F">
              <w:rPr>
                <w:rFonts w:ascii="Arial Narrow" w:hAnsi="Arial Narrow" w:cs="Tahoma"/>
              </w:rPr>
              <w:t>cet</w:t>
            </w:r>
            <w:r>
              <w:rPr>
                <w:rFonts w:ascii="Arial Narrow" w:hAnsi="Arial Narrow" w:cs="Tahoma"/>
              </w:rPr>
              <w:t xml:space="preserve"> atelier</w:t>
            </w:r>
            <w:r w:rsidR="00CE7FC5">
              <w:rPr>
                <w:rFonts w:ascii="Arial Narrow" w:hAnsi="Arial Narrow" w:cs="Tahoma"/>
              </w:rPr>
              <w:t xml:space="preserve"> </w:t>
            </w:r>
            <w:r>
              <w:rPr>
                <w:rFonts w:ascii="Arial Narrow" w:hAnsi="Arial Narrow" w:cs="Tahoma"/>
              </w:rPr>
              <w:t>prévu</w:t>
            </w:r>
            <w:r w:rsidR="008C3E4F">
              <w:rPr>
                <w:rFonts w:ascii="Arial Narrow" w:hAnsi="Arial Narrow" w:cs="Tahoma"/>
              </w:rPr>
              <w:t xml:space="preserve"> pour</w:t>
            </w:r>
            <w:r>
              <w:rPr>
                <w:rFonts w:ascii="Arial Narrow" w:hAnsi="Arial Narrow" w:cs="Tahoma"/>
              </w:rPr>
              <w:t xml:space="preserve"> les 17 et 18 janvier 2019 à la Maison de l’Entreprise ; La dernière rencontre </w:t>
            </w:r>
            <w:r w:rsidR="008C3E4F">
              <w:rPr>
                <w:rFonts w:ascii="Arial Narrow" w:hAnsi="Arial Narrow" w:cs="Tahoma"/>
              </w:rPr>
              <w:t>préparatoire dudit a</w:t>
            </w:r>
            <w:r>
              <w:rPr>
                <w:rFonts w:ascii="Arial Narrow" w:hAnsi="Arial Narrow" w:cs="Tahoma"/>
              </w:rPr>
              <w:t xml:space="preserve">telier </w:t>
            </w:r>
            <w:r w:rsidR="00CE7FC5">
              <w:rPr>
                <w:rFonts w:ascii="Arial Narrow" w:hAnsi="Arial Narrow" w:cs="Tahoma"/>
              </w:rPr>
              <w:t xml:space="preserve">(validation des TDR et du budget de la rencontre) </w:t>
            </w:r>
            <w:r>
              <w:rPr>
                <w:rFonts w:ascii="Arial Narrow" w:hAnsi="Arial Narrow" w:cs="Tahoma"/>
              </w:rPr>
              <w:t>s’est tenue ce vendredi 04 janvier au sein des locaux du Ministère de l’Environnement.</w:t>
            </w:r>
          </w:p>
        </w:tc>
      </w:tr>
    </w:tbl>
    <w:p w:rsidR="002B31E7" w:rsidRDefault="007854F7" w:rsidP="00A06F14">
      <w:pPr>
        <w:jc w:val="both"/>
        <w:rPr>
          <w:rFonts w:ascii="Arial Narrow" w:hAnsi="Arial Narrow"/>
        </w:rPr>
      </w:pPr>
    </w:p>
    <w:p w:rsidR="005C45DC" w:rsidRDefault="005C45DC" w:rsidP="00A06F14">
      <w:pPr>
        <w:jc w:val="both"/>
        <w:rPr>
          <w:rFonts w:ascii="Arial Narrow" w:hAnsi="Arial Narrow"/>
        </w:rPr>
      </w:pPr>
    </w:p>
    <w:p w:rsidR="005C45DC" w:rsidRDefault="005C45DC" w:rsidP="00A06F14">
      <w:pPr>
        <w:jc w:val="both"/>
        <w:rPr>
          <w:rFonts w:ascii="Arial Narrow" w:hAnsi="Arial Narrow"/>
        </w:rPr>
      </w:pPr>
      <w:r w:rsidRPr="005C45DC">
        <w:rPr>
          <w:rFonts w:ascii="Arial Narrow" w:hAnsi="Arial Narrow"/>
          <w:b/>
          <w:u w:val="single"/>
        </w:rPr>
        <w:t>P.J</w:t>
      </w:r>
      <w:r>
        <w:rPr>
          <w:rFonts w:ascii="Arial Narrow" w:hAnsi="Arial Narrow"/>
        </w:rPr>
        <w:t xml:space="preserve"> : </w:t>
      </w:r>
      <w:r w:rsidR="00C20EF7">
        <w:rPr>
          <w:rFonts w:ascii="Arial Narrow" w:hAnsi="Arial Narrow"/>
        </w:rPr>
        <w:t xml:space="preserve">- </w:t>
      </w:r>
      <w:r>
        <w:rPr>
          <w:rFonts w:ascii="Arial Narrow" w:hAnsi="Arial Narrow"/>
        </w:rPr>
        <w:t>TDR de l’atelier prévu les 17-18 Janvier 2019</w:t>
      </w:r>
    </w:p>
    <w:p w:rsidR="00C20EF7" w:rsidRDefault="00C20EF7" w:rsidP="00A06F14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     - TDR de la CGECI l’étude sur la Fiscalité Environnementale</w:t>
      </w:r>
    </w:p>
    <w:p w:rsidR="00C20EF7" w:rsidRDefault="00C20EF7" w:rsidP="00A06F14">
      <w:pPr>
        <w:jc w:val="both"/>
        <w:rPr>
          <w:rFonts w:ascii="Arial Narrow" w:hAnsi="Arial Narrow"/>
        </w:rPr>
      </w:pPr>
    </w:p>
    <w:p w:rsidR="00C20EF7" w:rsidRDefault="00C20EF7" w:rsidP="00A06F14">
      <w:pPr>
        <w:jc w:val="both"/>
        <w:rPr>
          <w:rFonts w:ascii="Arial Narrow" w:hAnsi="Arial Narrow"/>
        </w:rPr>
      </w:pPr>
    </w:p>
    <w:p w:rsidR="005C45DC" w:rsidRPr="00D01ECB" w:rsidRDefault="005C45DC" w:rsidP="00D12940">
      <w:pPr>
        <w:jc w:val="right"/>
        <w:rPr>
          <w:rFonts w:ascii="Arial Narrow" w:hAnsi="Arial Narrow"/>
        </w:rPr>
      </w:pPr>
      <w:r>
        <w:rPr>
          <w:rFonts w:ascii="Arial Narrow" w:hAnsi="Arial Narrow"/>
        </w:rPr>
        <w:t>Fait à Abidjan le 04 Janvier 2019</w:t>
      </w:r>
    </w:p>
    <w:sectPr w:rsidR="005C45DC" w:rsidRPr="00D01ECB" w:rsidSect="00A06F14">
      <w:footerReference w:type="default" r:id="rId7"/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4F7" w:rsidRDefault="007854F7" w:rsidP="003A063C">
      <w:pPr>
        <w:spacing w:after="0" w:line="240" w:lineRule="auto"/>
      </w:pPr>
      <w:r>
        <w:separator/>
      </w:r>
    </w:p>
  </w:endnote>
  <w:endnote w:type="continuationSeparator" w:id="0">
    <w:p w:rsidR="007854F7" w:rsidRDefault="007854F7" w:rsidP="003A0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92761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C45DC" w:rsidRDefault="005C45DC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550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550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E13B1" w:rsidRDefault="00CE13B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4F7" w:rsidRDefault="007854F7" w:rsidP="003A063C">
      <w:pPr>
        <w:spacing w:after="0" w:line="240" w:lineRule="auto"/>
      </w:pPr>
      <w:r>
        <w:separator/>
      </w:r>
    </w:p>
  </w:footnote>
  <w:footnote w:type="continuationSeparator" w:id="0">
    <w:p w:rsidR="007854F7" w:rsidRDefault="007854F7" w:rsidP="003A0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7162C"/>
    <w:multiLevelType w:val="hybridMultilevel"/>
    <w:tmpl w:val="95A69C0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DE3E56"/>
    <w:multiLevelType w:val="hybridMultilevel"/>
    <w:tmpl w:val="3B28C554"/>
    <w:lvl w:ilvl="0" w:tplc="BE38EBCA">
      <w:start w:val="50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F00A0"/>
    <w:multiLevelType w:val="hybridMultilevel"/>
    <w:tmpl w:val="13ECC7E6"/>
    <w:lvl w:ilvl="0" w:tplc="1C809DE0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34EBA"/>
    <w:multiLevelType w:val="hybridMultilevel"/>
    <w:tmpl w:val="1CECF9B0"/>
    <w:lvl w:ilvl="0" w:tplc="D9B4837A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43B53"/>
    <w:multiLevelType w:val="hybridMultilevel"/>
    <w:tmpl w:val="2C9260E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742A3"/>
    <w:multiLevelType w:val="hybridMultilevel"/>
    <w:tmpl w:val="471448B4"/>
    <w:lvl w:ilvl="0" w:tplc="75EECD80">
      <w:start w:val="7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3190F"/>
    <w:multiLevelType w:val="hybridMultilevel"/>
    <w:tmpl w:val="A628D9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02C7B"/>
    <w:multiLevelType w:val="hybridMultilevel"/>
    <w:tmpl w:val="4A8A0E08"/>
    <w:lvl w:ilvl="0" w:tplc="75EECD80">
      <w:start w:val="7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D79AC"/>
    <w:multiLevelType w:val="hybridMultilevel"/>
    <w:tmpl w:val="72AC9750"/>
    <w:lvl w:ilvl="0" w:tplc="D9B4837A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66ADF"/>
    <w:multiLevelType w:val="hybridMultilevel"/>
    <w:tmpl w:val="449A22FC"/>
    <w:lvl w:ilvl="0" w:tplc="4C060DC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4B786FBD"/>
    <w:multiLevelType w:val="hybridMultilevel"/>
    <w:tmpl w:val="C706A4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D457C"/>
    <w:multiLevelType w:val="hybridMultilevel"/>
    <w:tmpl w:val="3F2269F6"/>
    <w:lvl w:ilvl="0" w:tplc="87CAE81C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6433B"/>
    <w:multiLevelType w:val="hybridMultilevel"/>
    <w:tmpl w:val="DAE2B18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A01C6C"/>
    <w:multiLevelType w:val="hybridMultilevel"/>
    <w:tmpl w:val="11FE813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75235B"/>
    <w:multiLevelType w:val="hybridMultilevel"/>
    <w:tmpl w:val="77E6577C"/>
    <w:lvl w:ilvl="0" w:tplc="D9B4837A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5"/>
  </w:num>
  <w:num w:numId="6">
    <w:abstractNumId w:val="4"/>
  </w:num>
  <w:num w:numId="7">
    <w:abstractNumId w:val="0"/>
  </w:num>
  <w:num w:numId="8">
    <w:abstractNumId w:val="13"/>
  </w:num>
  <w:num w:numId="9">
    <w:abstractNumId w:val="14"/>
  </w:num>
  <w:num w:numId="10">
    <w:abstractNumId w:val="3"/>
  </w:num>
  <w:num w:numId="11">
    <w:abstractNumId w:val="6"/>
  </w:num>
  <w:num w:numId="12">
    <w:abstractNumId w:val="8"/>
  </w:num>
  <w:num w:numId="13">
    <w:abstractNumId w:val="2"/>
  </w:num>
  <w:num w:numId="14">
    <w:abstractNumId w:val="9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63C"/>
    <w:rsid w:val="00012B53"/>
    <w:rsid w:val="000264CE"/>
    <w:rsid w:val="0002765C"/>
    <w:rsid w:val="000426EC"/>
    <w:rsid w:val="000550A5"/>
    <w:rsid w:val="00074DBF"/>
    <w:rsid w:val="000A20C7"/>
    <w:rsid w:val="000B2F47"/>
    <w:rsid w:val="000B5507"/>
    <w:rsid w:val="000C5C98"/>
    <w:rsid w:val="000C68B1"/>
    <w:rsid w:val="000E004F"/>
    <w:rsid w:val="000E200D"/>
    <w:rsid w:val="000E76F9"/>
    <w:rsid w:val="000F1D7A"/>
    <w:rsid w:val="00116DBD"/>
    <w:rsid w:val="00121878"/>
    <w:rsid w:val="00146CE2"/>
    <w:rsid w:val="001A7CD7"/>
    <w:rsid w:val="001C04E2"/>
    <w:rsid w:val="001D4F7D"/>
    <w:rsid w:val="001D5B24"/>
    <w:rsid w:val="0026525D"/>
    <w:rsid w:val="00277ADE"/>
    <w:rsid w:val="002A6490"/>
    <w:rsid w:val="002C1F3D"/>
    <w:rsid w:val="002E5766"/>
    <w:rsid w:val="002F006D"/>
    <w:rsid w:val="00321695"/>
    <w:rsid w:val="00321E97"/>
    <w:rsid w:val="0032383D"/>
    <w:rsid w:val="0033053D"/>
    <w:rsid w:val="00352EF5"/>
    <w:rsid w:val="00375630"/>
    <w:rsid w:val="00380152"/>
    <w:rsid w:val="003A063C"/>
    <w:rsid w:val="003B2FE3"/>
    <w:rsid w:val="003C0966"/>
    <w:rsid w:val="003D631B"/>
    <w:rsid w:val="003F7FAA"/>
    <w:rsid w:val="0041323D"/>
    <w:rsid w:val="0045580D"/>
    <w:rsid w:val="0046731B"/>
    <w:rsid w:val="00492EBD"/>
    <w:rsid w:val="004A3515"/>
    <w:rsid w:val="004D697C"/>
    <w:rsid w:val="004E3A68"/>
    <w:rsid w:val="004F6BC7"/>
    <w:rsid w:val="00517E1D"/>
    <w:rsid w:val="005211C5"/>
    <w:rsid w:val="00535978"/>
    <w:rsid w:val="005B358F"/>
    <w:rsid w:val="005C45DC"/>
    <w:rsid w:val="005D34CD"/>
    <w:rsid w:val="005F4994"/>
    <w:rsid w:val="00605C81"/>
    <w:rsid w:val="00627E32"/>
    <w:rsid w:val="0063639B"/>
    <w:rsid w:val="006404B1"/>
    <w:rsid w:val="00663748"/>
    <w:rsid w:val="00664A44"/>
    <w:rsid w:val="0067274C"/>
    <w:rsid w:val="006820D0"/>
    <w:rsid w:val="0069289C"/>
    <w:rsid w:val="00697737"/>
    <w:rsid w:val="006A2C3C"/>
    <w:rsid w:val="006B02C8"/>
    <w:rsid w:val="006F4A8D"/>
    <w:rsid w:val="006F4FA9"/>
    <w:rsid w:val="006F7D81"/>
    <w:rsid w:val="0073584E"/>
    <w:rsid w:val="00743ED6"/>
    <w:rsid w:val="00750065"/>
    <w:rsid w:val="007502E3"/>
    <w:rsid w:val="00762E1B"/>
    <w:rsid w:val="0076492D"/>
    <w:rsid w:val="007854F7"/>
    <w:rsid w:val="007971DD"/>
    <w:rsid w:val="007C74F6"/>
    <w:rsid w:val="007D3CA7"/>
    <w:rsid w:val="007F1710"/>
    <w:rsid w:val="007F6799"/>
    <w:rsid w:val="008060E7"/>
    <w:rsid w:val="0080663D"/>
    <w:rsid w:val="00811FAB"/>
    <w:rsid w:val="00834BEE"/>
    <w:rsid w:val="008777DB"/>
    <w:rsid w:val="008C3E4F"/>
    <w:rsid w:val="008E4689"/>
    <w:rsid w:val="0090674E"/>
    <w:rsid w:val="00906F01"/>
    <w:rsid w:val="00943A29"/>
    <w:rsid w:val="009479DC"/>
    <w:rsid w:val="009942DE"/>
    <w:rsid w:val="00997539"/>
    <w:rsid w:val="009B67CC"/>
    <w:rsid w:val="009D4E11"/>
    <w:rsid w:val="00A04D1E"/>
    <w:rsid w:val="00A06F14"/>
    <w:rsid w:val="00A17615"/>
    <w:rsid w:val="00A1775D"/>
    <w:rsid w:val="00A6171B"/>
    <w:rsid w:val="00A70FCA"/>
    <w:rsid w:val="00A8388E"/>
    <w:rsid w:val="00AA0A63"/>
    <w:rsid w:val="00AA1A44"/>
    <w:rsid w:val="00AB4AE1"/>
    <w:rsid w:val="00AC5482"/>
    <w:rsid w:val="00AF7BE1"/>
    <w:rsid w:val="00B14FB6"/>
    <w:rsid w:val="00B35DBA"/>
    <w:rsid w:val="00B7532B"/>
    <w:rsid w:val="00B76BD4"/>
    <w:rsid w:val="00B876E0"/>
    <w:rsid w:val="00BC20D8"/>
    <w:rsid w:val="00BC633D"/>
    <w:rsid w:val="00BC6B8A"/>
    <w:rsid w:val="00BE2B85"/>
    <w:rsid w:val="00C20EF7"/>
    <w:rsid w:val="00CA0323"/>
    <w:rsid w:val="00CA3BE6"/>
    <w:rsid w:val="00CB18F8"/>
    <w:rsid w:val="00CB38B9"/>
    <w:rsid w:val="00CC7B36"/>
    <w:rsid w:val="00CD6B67"/>
    <w:rsid w:val="00CD7A24"/>
    <w:rsid w:val="00CE13B1"/>
    <w:rsid w:val="00CE6E60"/>
    <w:rsid w:val="00CE7FC5"/>
    <w:rsid w:val="00D01ECB"/>
    <w:rsid w:val="00D108A6"/>
    <w:rsid w:val="00D12940"/>
    <w:rsid w:val="00D23F03"/>
    <w:rsid w:val="00D444E5"/>
    <w:rsid w:val="00D44DF0"/>
    <w:rsid w:val="00D711A4"/>
    <w:rsid w:val="00DB4144"/>
    <w:rsid w:val="00DC0739"/>
    <w:rsid w:val="00DD7478"/>
    <w:rsid w:val="00DE5F7A"/>
    <w:rsid w:val="00DE6E3C"/>
    <w:rsid w:val="00DF1E1B"/>
    <w:rsid w:val="00E429E4"/>
    <w:rsid w:val="00E93195"/>
    <w:rsid w:val="00EA020E"/>
    <w:rsid w:val="00EB6EDB"/>
    <w:rsid w:val="00EC0F40"/>
    <w:rsid w:val="00F25155"/>
    <w:rsid w:val="00F65033"/>
    <w:rsid w:val="00FC305D"/>
    <w:rsid w:val="00FC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415DAB-DE31-47CA-AEFB-3D1FD6D6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63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A063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A063C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A063C"/>
    <w:pPr>
      <w:ind w:left="720"/>
      <w:contextualSpacing/>
    </w:pPr>
  </w:style>
  <w:style w:type="character" w:styleId="Appelnotedebasdep">
    <w:name w:val="footnote reference"/>
    <w:basedOn w:val="Policepardfaut"/>
    <w:uiPriority w:val="99"/>
    <w:semiHidden/>
    <w:unhideWhenUsed/>
    <w:rsid w:val="003A063C"/>
    <w:rPr>
      <w:vertAlign w:val="superscript"/>
    </w:rPr>
  </w:style>
  <w:style w:type="table" w:styleId="Grilledutableau">
    <w:name w:val="Table Grid"/>
    <w:basedOn w:val="TableauNormal"/>
    <w:uiPriority w:val="59"/>
    <w:rsid w:val="003A0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E3A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3A68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E1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13B1"/>
  </w:style>
  <w:style w:type="paragraph" w:styleId="Pieddepage">
    <w:name w:val="footer"/>
    <w:basedOn w:val="Normal"/>
    <w:link w:val="PieddepageCar"/>
    <w:uiPriority w:val="99"/>
    <w:unhideWhenUsed/>
    <w:rsid w:val="00CE1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1020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Leopold bodo</dc:creator>
  <cp:lastModifiedBy>Flore Helena ARKHURST</cp:lastModifiedBy>
  <cp:revision>2</cp:revision>
  <cp:lastPrinted>2019-01-04T18:35:00Z</cp:lastPrinted>
  <dcterms:created xsi:type="dcterms:W3CDTF">2022-12-03T15:49:00Z</dcterms:created>
  <dcterms:modified xsi:type="dcterms:W3CDTF">2022-12-03T15:49:00Z</dcterms:modified>
</cp:coreProperties>
</file>