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Calibri" w:hAnsi="Calibri" w:cs="Calibri"/>
          <w:b/>
          <w:i w:val="0"/>
          <w:sz w:val="36"/>
        </w:rPr>
        <w:t>GEST-2026</w:t>
      </w:r>
    </w:p>
    <w:p>
      <w:pPr>
        <w:spacing w:after="160" w:before="0"/>
      </w:pPr>
      <w:r>
        <w:rPr>
          <w:rFonts w:ascii="Calibri" w:hAnsi="Calibri" w:cs="Calibri"/>
          <w:b/>
          <w:i w:val="0"/>
          <w:sz w:val="28"/>
        </w:rPr>
        <w:t>Rising hot nights, persistent cold days, and an aging population: thermal extremes and cardiovascular hospital burden in Hong Kong, 2013–2023</w:t>
      </w:r>
    </w:p>
    <w:p>
      <w:pPr>
        <w:spacing w:after="160" w:before="0"/>
      </w:pPr>
      <w:r>
        <w:rPr>
          <w:rFonts w:ascii="Calibri" w:hAnsi="Calibri" w:cs="Calibri"/>
          <w:b w:val="0"/>
          <w:i w:val="0"/>
          <w:sz w:val="24"/>
        </w:rPr>
        <w:t>Presentation type: Poster</w:t>
      </w:r>
    </w:p>
    <w:p>
      <w:pPr>
        <w:spacing w:after="80" w:before="0"/>
      </w:pPr>
      <w:r>
        <w:rPr>
          <w:rFonts w:ascii="Calibri" w:hAnsi="Calibri" w:cs="Calibri"/>
          <w:b w:val="0"/>
          <w:i w:val="0"/>
          <w:sz w:val="24"/>
        </w:rPr>
        <w:t>Shen Ruililin*</w:t>
      </w:r>
    </w:p>
    <w:p>
      <w:pPr>
        <w:spacing w:after="80" w:before="0"/>
      </w:pPr>
      <w:r>
        <w:rPr>
          <w:rFonts w:ascii="Calibri" w:hAnsi="Calibri" w:cs="Calibri"/>
          <w:b w:val="0"/>
          <w:i/>
          <w:sz w:val="24"/>
        </w:rPr>
        <w:t>The University of Hong Kong, China</w:t>
      </w:r>
    </w:p>
    <w:p>
      <w:pPr>
        <w:spacing w:after="200" w:before="0"/>
      </w:pPr>
      <w:r>
        <w:rPr>
          <w:rFonts w:ascii="Calibri" w:hAnsi="Calibri" w:cs="Calibri"/>
          <w:b w:val="0"/>
          <w:i w:val="0"/>
          <w:sz w:val="24"/>
        </w:rPr>
        <w:t>Email: shenrll@connect.hku.hk</w:t>
      </w:r>
    </w:p>
    <w:p>
      <w:pPr>
        <w:spacing w:after="120" w:before="0"/>
      </w:pPr>
      <w:r>
        <w:rPr>
          <w:rFonts w:ascii="Calibri" w:hAnsi="Calibri" w:cs="Calibri"/>
          <w:b/>
          <w:i w:val="0"/>
          <w:sz w:val="24"/>
        </w:rPr>
        <w:t>Abstract</w:t>
      </w:r>
      <w:r>
        <w:rPr>
          <w:rFonts w:ascii="Calibri" w:hAnsi="Calibri" w:cs="Calibri"/>
          <w:b w:val="0"/>
          <w:i w:val="0"/>
          <w:sz w:val="24"/>
        </w:rPr>
        <w:t xml:space="preserve"> {Max words limit 250}</w:t>
      </w:r>
    </w:p>
    <w:p>
      <w:pPr>
        <w:spacing w:after="160" w:before="0"/>
      </w:pPr>
      <w:r>
        <w:rPr>
          <w:rFonts w:ascii="Calibri" w:hAnsi="Calibri" w:cs="Calibri"/>
          <w:b w:val="0"/>
          <w:i w:val="0"/>
          <w:sz w:val="24"/>
        </w:rPr>
        <w:t>Climate change is reshaping thermal exposure in subtropical cities, with direct implications for human cardiovascular health. Hong Kong is dense, humid, and rapidly aging; both heat and cold can stress thermoregulation and precipitate acute cardiac and cerebrovascular events. Official Hong Kong Observatory extremes—hot nights (daily minimum ≥28°C), very hot days (daily maximum ≥33°C), and cold days (daily minimum ≤12°C)—provide an operationally relevant exposure framework for hospital preparedness.</w:t>
      </w:r>
    </w:p>
    <w:p>
      <w:pPr>
        <w:spacing w:after="160" w:before="0"/>
      </w:pPr>
      <w:r>
        <w:rPr>
          <w:rFonts w:ascii="Calibri" w:hAnsi="Calibri" w:cs="Calibri"/>
          <w:b w:val="0"/>
          <w:i w:val="0"/>
          <w:sz w:val="24"/>
        </w:rPr>
        <w:t>This poster presents validated 2013–2023 patterns of thermal extremes alongside population aging, establishing the climate–human exposure base for a planned ecological assessment of cardiovascular hospital admissions.</w:t>
      </w:r>
    </w:p>
    <w:p>
      <w:pPr>
        <w:spacing w:after="160" w:before="0"/>
      </w:pPr>
      <w:r>
        <w:rPr>
          <w:rFonts w:ascii="Calibri" w:hAnsi="Calibri" w:cs="Calibri"/>
          <w:b w:val="0"/>
          <w:i w:val="0"/>
          <w:sz w:val="24"/>
        </w:rPr>
        <w:t>Daily Headquarters observations were aggregated to 132 calendar months and cross-checked against official Year's Weather summaries (33/33 match). Mid-year Census and Statistics Department age–sex estimates provided denominators, with particular attention to ages 65–69 and 70–74. A monthly time-series of Hospital Authority admissions for acute myocardial infarction and stroke is predefined and awaits secure data access.</w:t>
      </w:r>
    </w:p>
    <w:p>
      <w:pPr>
        <w:spacing w:after="160" w:before="0"/>
      </w:pPr>
      <w:r>
        <w:rPr>
          <w:rFonts w:ascii="Calibri" w:hAnsi="Calibri" w:cs="Calibri"/>
          <w:b w:val="0"/>
          <w:i w:val="0"/>
          <w:sz w:val="24"/>
        </w:rPr>
        <w:t>Annual hot nights rose from 10 in 2013 to 61 in 2021 and 56 in 2023; very hot days increased similarly. Cold days did not disappear (13–14 days in recent years). Populations aged 65–69 and 70–74 nearly doubled (+93% and +99%).</w:t>
      </w:r>
    </w:p>
    <w:p>
      <w:pPr>
        <w:spacing w:after="240" w:before="0"/>
      </w:pPr>
      <w:r>
        <w:rPr>
          <w:rFonts w:ascii="Calibri" w:hAnsi="Calibri" w:cs="Calibri"/>
          <w:b w:val="0"/>
          <w:i w:val="0"/>
          <w:sz w:val="24"/>
        </w:rPr>
        <w:t>Warming is already intensifying overnight and daytime heat while cold risk persists, coinciding with rapid growth of clinically vulnerable older cohorts. These human-facing climate shifts underscore the urgency of quantifying contemporary thermal–cardiovascular hospital burden for adaptation planning.</w:t>
      </w:r>
    </w:p>
    <w:p>
      <w:pPr>
        <w:spacing w:after="120" w:before="0"/>
      </w:pPr>
      <w:r>
        <w:rPr>
          <w:rFonts w:ascii="Calibri" w:hAnsi="Calibri" w:cs="Calibri"/>
          <w:b/>
          <w:i w:val="0"/>
          <w:sz w:val="24"/>
        </w:rPr>
        <w:t>Biography:</w:t>
      </w:r>
      <w:r>
        <w:rPr>
          <w:rFonts w:ascii="Calibri" w:hAnsi="Calibri" w:cs="Calibri"/>
          <w:b w:val="0"/>
          <w:i w:val="0"/>
          <w:sz w:val="24"/>
        </w:rPr>
        <w:t xml:space="preserve"> {Max words limit 100}</w:t>
      </w:r>
    </w:p>
    <w:p>
      <w:pPr>
        <w:spacing w:after="0" w:before="0"/>
      </w:pPr>
      <w:r>
        <w:rPr>
          <w:rFonts w:ascii="Calibri" w:hAnsi="Calibri" w:cs="Calibri"/>
          <w:b w:val="0"/>
          <w:i w:val="0"/>
          <w:sz w:val="24"/>
        </w:rPr>
        <w:t>Mr. Shen Ruililin is a Laidlaw Scholar at The University of Hong Kong. His research examines how official thermal extremes—especially hot nights and cold days—relate to cardiovascular hospital burden in an aging subtropical city. He builds reproducible weather, population, and analysis pipelines to support transparent ecological time-series studies of acute myocardial infarction and stroke admissions under contemporary climate change.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