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Times New Roman"/>
          <w:b/>
          <w:i w:val="0"/>
          <w:sz w:val="32"/>
        </w:rPr>
        <w:t>Thermal extremes and first hospitalisation after coronary heart disease or heart failure diagnosis in Hong Kong, 2013–2023</w:t>
      </w:r>
    </w:p>
    <w:p>
      <w:pPr>
        <w:spacing w:after="200" w:before="0" w:line="240" w:lineRule="auto"/>
        <w:ind w:firstLine="0"/>
        <w:jc w:val="center"/>
      </w:pPr>
      <w:r>
        <w:rPr>
          <w:rFonts w:ascii="Times New Roman" w:hAnsi="Times New Roman" w:eastAsia="Times New Roman"/>
          <w:b w:val="0"/>
          <w:i/>
          <w:sz w:val="22"/>
        </w:rPr>
        <w:t>Running title: Thermal extremes and first CHD/HF hospitalisation</w:t>
      </w:r>
    </w:p>
    <w:p>
      <w:pPr>
        <w:spacing w:after="4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spacing w:after="240" w:before="0" w:line="240" w:lineRule="auto"/>
        <w:ind w:firstLine="0"/>
        <w:jc w:val="center"/>
      </w:pPr>
      <w:r>
        <w:rPr>
          <w:rFonts w:ascii="Times New Roman" w:hAnsi="Times New Roman" w:eastAsia="Times New Roman"/>
          <w:b w:val="0"/>
          <w:i w:val="0"/>
          <w:sz w:val="20"/>
          <w:vertAlign w:val="superscript"/>
        </w:rPr>
        <w:t>1</w:t>
      </w:r>
      <w:r>
        <w:rPr>
          <w:rFonts w:ascii="Times New Roman" w:hAnsi="Times New Roman" w:eastAsia="Times New Roman"/>
          <w:b w:val="0"/>
          <w:i/>
          <w:sz w:val="20"/>
        </w:rPr>
        <w:t xml:space="preserve"> School of Public Health, Li Ka Shing Faculty of Medicine, The University of Hong Kong, Hong Kong SAR, China</w:t>
      </w:r>
    </w:p>
    <w:p>
      <w:pPr>
        <w:spacing w:after="120" w:before="240" w:line="240" w:lineRule="auto"/>
        <w:ind w:firstLine="0"/>
        <w:jc w:val="left"/>
      </w:pPr>
      <w:r>
        <w:rPr>
          <w:rFonts w:ascii="Times New Roman" w:hAnsi="Times New Roman" w:eastAsia="Times New Roman"/>
          <w:b/>
          <w:i w:val="0"/>
          <w:sz w:val="28"/>
        </w:rPr>
        <w:t>Abstract</w:t>
      </w:r>
    </w:p>
    <w:p>
      <w:pPr>
        <w:spacing w:after="160" w:before="0" w:line="240" w:lineRule="auto"/>
        <w:ind w:firstLine="720"/>
        <w:jc w:val="both"/>
      </w:pPr>
      <w:r>
        <w:rPr>
          <w:rFonts w:ascii="Times New Roman" w:hAnsi="Times New Roman" w:eastAsia="Times New Roman"/>
          <w:b/>
          <w:i w:val="0"/>
          <w:sz w:val="24"/>
        </w:rPr>
        <w:t xml:space="preserve">Background. </w:t>
      </w:r>
      <w:r>
        <w:rPr>
          <w:rFonts w:ascii="Times New Roman" w:hAnsi="Times New Roman" w:eastAsia="Times New Roman"/>
          <w:b w:val="0"/>
          <w:i w:val="0"/>
          <w:sz w:val="24"/>
        </w:rPr>
        <w:t>Hong Kong records more hot nights than a decade ago, while cold days persist. Whether the cold-dominant pattern of earlier daily cardiac-admission studies extends to monthly first-hospitalisation counts is untested.</w:t>
      </w:r>
    </w:p>
    <w:p>
      <w:pPr>
        <w:spacing w:after="160" w:before="0" w:line="240" w:lineRule="auto"/>
        <w:ind w:firstLine="720"/>
        <w:jc w:val="both"/>
      </w:pPr>
      <w:r>
        <w:rPr>
          <w:rFonts w:ascii="Times New Roman" w:hAnsi="Times New Roman" w:eastAsia="Times New Roman"/>
          <w:b/>
          <w:i w:val="0"/>
          <w:sz w:val="24"/>
        </w:rPr>
        <w:t xml:space="preserve">Methods. </w:t>
      </w:r>
      <w:commentRangeStart w:id="1"/>
      <w:r>
        <w:rPr>
          <w:rFonts w:ascii="Times New Roman" w:hAnsi="Times New Roman" w:eastAsia="Times New Roman"/>
          <w:b w:val="0"/>
          <w:i w:val="0"/>
          <w:sz w:val="24"/>
        </w:rPr>
        <w:t>We analysed 132 territory-months (2013–2023)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Model 2 adds monthly mean relative humidity and monthly total rainfall. Model 3 replaces official extreme-day counts with counts of days warmer or cooler than the historical same-calendar-day mean. Reported estimates are from Model 1. Intervals used model-based, HC1, and Newey–West lag-3 and lag-6 constructions. Benjamini–Hochberg q-values covered the twelve Model 1 fits.</w:t>
      </w:r>
      <w:commentRangeEnd w:id="1"/>
      <w:r>
        <w:rPr>
          <w:rStyle w:val="CommentReference"/>
        </w:rPr>
        <w:commentReference w:id="1"/>
      </w:r>
    </w:p>
    <w:p>
      <w:pPr>
        <w:spacing w:after="160" w:before="0" w:line="240" w:lineRule="auto"/>
        <w:ind w:firstLine="720"/>
        <w:jc w:val="both"/>
      </w:pPr>
      <w:r>
        <w:rPr>
          <w:rFonts w:ascii="Times New Roman" w:hAnsi="Times New Roman" w:eastAsia="Times New Roman"/>
          <w:b/>
          <w:i w:val="0"/>
          <w:sz w:val="24"/>
        </w:rPr>
        <w:t xml:space="preserve">Results. </w:t>
      </w:r>
      <w:r>
        <w:rPr>
          <w:rFonts w:ascii="Times New Roman" w:hAnsi="Times New Roman" w:eastAsia="Times New Roman"/>
          <w:b w:val="0"/>
          <w:i w:val="0"/>
          <w:sz w:val="24"/>
        </w:rPr>
        <w:t>Under Newey–West lag-6 reporting, the count ratio was 1.022 (1.002–1.042) per five hot nights for CHD and 1.073 (1.006–1.144) per five cold days for HF, both with q = 0.192; all twelve q-values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 identifying that contrast between winters.</w:t>
      </w:r>
    </w:p>
    <w:p>
      <w:pPr>
        <w:spacing w:after="160" w:before="0" w:line="240" w:lineRule="auto"/>
        <w:ind w:firstLine="720"/>
        <w:jc w:val="both"/>
      </w:pPr>
      <w:r>
        <w:rPr>
          <w:rFonts w:ascii="Times New Roman" w:hAnsi="Times New Roman" w:eastAsia="Times New Roman"/>
          <w:b/>
          <w:i w:val="0"/>
          <w:sz w:val="24"/>
        </w:rPr>
        <w:t xml:space="preserve">Conclusions. </w:t>
      </w:r>
      <w:r>
        <w:rPr>
          <w:rFonts w:ascii="Times New Roman" w:hAnsi="Times New Roman" w:eastAsia="Times New Roman"/>
          <w:b w:val="0"/>
          <w:i w:val="0"/>
          <w:sz w:val="24"/>
        </w:rPr>
        <w:t>The data do not support a multiplicity-protected differential thermal claim. The HF cold-day association is concordant across standard-error methods; the CHD hot-night association depends on the construction and on including 2020–2023. Estimates are ecological monthly count ratios for a first-event outcome without recorded admission cause.</w:t>
      </w:r>
    </w:p>
    <w:p>
      <w:pPr>
        <w:spacing w:after="160" w:before="0" w:line="240" w:lineRule="auto"/>
        <w:ind w:firstLine="0"/>
        <w:jc w:val="both"/>
      </w:pPr>
      <w:r>
        <w:rPr>
          <w:rFonts w:ascii="Times New Roman" w:hAnsi="Times New Roman" w:eastAsia="Times New Roman"/>
          <w:b/>
          <w:i w:val="0"/>
          <w:sz w:val="24"/>
        </w:rPr>
        <w:t xml:space="preserve">Keywords: </w:t>
      </w:r>
      <w:r>
        <w:rPr>
          <w:rFonts w:ascii="Times New Roman" w:hAnsi="Times New Roman" w:eastAsia="Times New Roman"/>
          <w:b w:val="0"/>
          <w:i w:val="0"/>
          <w:sz w:val="24"/>
        </w:rPr>
        <w:t>hot nights; cold days; coronary heart disease; heart failure; Hong Kong; monthly time series</w:t>
      </w:r>
    </w:p>
    <w:p>
      <w:pPr>
        <w:pageBreakBefore/>
        <w:spacing w:after="120" w:before="0" w:line="240" w:lineRule="auto"/>
        <w:ind w:firstLine="0"/>
        <w:jc w:val="left"/>
      </w:pPr>
      <w:r>
        <w:rPr>
          <w:rFonts w:ascii="Times New Roman" w:hAnsi="Times New Roman" w:eastAsia="Times New Roman"/>
          <w:b/>
          <w:i w:val="0"/>
          <w:sz w:val="28"/>
        </w:rPr>
        <w:t>Introduction</w:t>
      </w:r>
    </w:p>
    <w:p>
      <w:pPr>
        <w:spacing w:after="160" w:before="0" w:line="240" w:lineRule="auto"/>
        <w:ind w:firstLine="720"/>
        <w:jc w:val="both"/>
      </w:pPr>
      <w:r>
        <w:rPr>
          <w:rFonts w:ascii="Times New Roman" w:hAnsi="Times New Roman" w:eastAsia="Times New Roman"/>
          <w:b w:val="0"/>
          <w:i w:val="0"/>
          <w:sz w:val="24"/>
        </w:rPr>
        <w:t>Temperature-related cardiovascular morbidity remains a concern in subtropical cities, where intense humid heat coexists with episodic cold [9]. Hong Kong is a dense, ageing city whose thermal profile shifted within a single decade. At the Hong Kong Observatory (HKO), hot nights increased from 10 in 2013 to 61 in 2021, and very hot days from 17 to 54 in the same comparison [2,4]. Cold days persisted across the period: 14 in 2013, 13 in 2021, and 14 in 2023 [2,4,6]. A contemporary local analysis therefore has to hold heat and cold in one design.</w:t>
      </w:r>
    </w:p>
    <w:p>
      <w:pPr>
        <w:spacing w:after="160" w:before="0" w:line="240" w:lineRule="auto"/>
        <w:ind w:firstLine="720"/>
        <w:jc w:val="both"/>
      </w:pPr>
      <w:r>
        <w:rPr>
          <w:rFonts w:ascii="Times New Roman" w:hAnsi="Times New Roman" w:eastAsia="Times New Roman"/>
          <w:b w:val="0"/>
          <w:i w:val="0"/>
          <w:sz w:val="24"/>
        </w:rPr>
        <w:t>Local evidence on cardiac admissions is daily, diagnosis-specific, and drawn from earlier decades. Using data from 2000–2009, Goggins et al. reported that a 1 °C decrease below an estimated 24 °C threshold was associated with a 3.7% increase in acute myocardial infarction admissions, and found no statistically significant heat association in Hong Kong, Taipei, or Kaohsiung [1]. Same-day nitrogen dioxide was the strongest pollutant predictor in that study [1]. An analysis of public-hospital stroke admissions during 1999–2006 found an inverse association of haemorrhagic stroke with temperature, and a weaker ischaemic-stroke association below about 22 °C [11]. Closest to the present outcomes, Goggins and Chan analysed daily public-hospital heart-failure admissions and deaths during 2002–2011 [21]. They reported a cumulative relative risk of 2.63 (2.43–2.84) for admissions comparing 11 °C with 25 °C, over lags extending to 23 days [21]. These studies fix the local historical pattern. They estimate daily risk for cause-coded admissions, so their coefficients do not transfer to monthly counts of first hospitalisation.</w:t>
      </w:r>
    </w:p>
    <w:p>
      <w:pPr>
        <w:spacing w:after="160" w:before="0" w:line="240" w:lineRule="auto"/>
        <w:ind w:firstLine="720"/>
        <w:jc w:val="both"/>
      </w:pPr>
      <w:r>
        <w:rPr>
          <w:rFonts w:ascii="Times New Roman" w:hAnsi="Times New Roman" w:eastAsia="Times New Roman"/>
          <w:b w:val="0"/>
          <w:i w:val="0"/>
          <w:sz w:val="24"/>
        </w:rPr>
        <w:t>Nighttime heat can be encoded in more than one way.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(excess relative risk −0.2%, 95% CI −1.2% to 0.7%) [17]. An hourly excess-heat metric for 20:00–07:59 was associated with higher hospitalisation, including a 3.1% (1.5–4.8%) increase at its extreme value [17]. Official monthly counts of hot nights are, by construction, a coarser encoding than nighttime intensity. They remain an interpretable public climatological series, and they are not a test of the hourly metric. Guo et al. did not study first CHD or HF hospitalisation in a diabetes or hypertension cohort [17].</w:t>
      </w:r>
    </w:p>
    <w:p>
      <w:pPr>
        <w:spacing w:after="160" w:before="0" w:line="240" w:lineRule="auto"/>
        <w:ind w:firstLine="720"/>
        <w:jc w:val="both"/>
      </w:pPr>
      <w:r>
        <w:rPr>
          <w:rFonts w:ascii="Times New Roman" w:hAnsi="Times New Roman" w:eastAsia="Times New Roman"/>
          <w:b w:val="0"/>
          <w:i w:val="0"/>
          <w:sz w:val="24"/>
        </w:rPr>
        <w:t>Air pollution also changed during the present study window.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Ozone rose over the same years,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These concentrations describe 2013–2023 and are not a reconstruction of the 2000–2009 window analysed by Goggins et al. [1]. Temperature and pollutants are not interchangeable covariates. Ozone is coupled with hot, sunny conditions, and may confound the thermal association or lie on its pathway.</w:t>
      </w:r>
    </w:p>
    <w:p>
      <w:pPr>
        <w:spacing w:after="160" w:before="0" w:line="240" w:lineRule="auto"/>
        <w:ind w:firstLine="720"/>
        <w:jc w:val="both"/>
      </w:pPr>
      <w:r>
        <w:rPr>
          <w:rFonts w:ascii="Times New Roman" w:hAnsi="Times New Roman" w:eastAsia="Times New Roman"/>
          <w:b w:val="0"/>
          <w:i w:val="0"/>
          <w:sz w:val="24"/>
        </w:rPr>
        <w:t>Daily mortality studies in Hong Kong answer a further, distinct question. Liu et al. (2020) reported a cold-dominant attributable fraction for cause-specific mortality during 2006–2016 (4.72% for cold versus 0.16% for heat), and a larger fraction for moderate non-optimum temperatures than for extremes (4.25% versus 0.63%) [12]. Liu et al. (2026) estimated 1,455 to 3,238 model-based excess heat deaths for 2014–2023, the range reflecting which local heatwave definition was applied [13]. Attributable fractions and modelled excess deaths are mortality burden quantities. They cannot be rescaled into monthly morbidity count ratios.</w:t>
      </w:r>
    </w:p>
    <w:p>
      <w:pPr>
        <w:spacing w:after="160" w:before="0" w:line="240" w:lineRule="auto"/>
        <w:ind w:firstLine="720"/>
        <w:jc w:val="both"/>
      </w:pPr>
      <w:r>
        <w:rPr>
          <w:rFonts w:ascii="Times New Roman" w:hAnsi="Times New Roman" w:eastAsia="Times New Roman"/>
          <w:b w:val="0"/>
          <w:i w:val="0"/>
          <w:sz w:val="24"/>
        </w:rPr>
        <w:t>This study estimates associations between specified monthly thermal-exposure contrasts and monthly counts of first hospitalisation after first CHD or HF diagnosis among people with type 2 diabetes and/or hypertension in Hong Kong from January 2013 through December 2023, carrying heat and cold in parallel and reporting all twelve Model 1 fits in place of a single protected claim.</w:t>
      </w:r>
    </w:p>
    <w:p>
      <w:pPr>
        <w:spacing w:after="120" w:before="240" w:line="240" w:lineRule="auto"/>
        <w:ind w:firstLine="0"/>
        <w:jc w:val="left"/>
      </w:pPr>
      <w:r>
        <w:rPr>
          <w:rFonts w:ascii="Times New Roman" w:hAnsi="Times New Roman" w:eastAsia="Times New Roman"/>
          <w:b/>
          <w:i w:val="0"/>
          <w:sz w:val="28"/>
        </w:rPr>
        <w:t>Methods</w:t>
      </w:r>
    </w:p>
    <w:p>
      <w:pPr>
        <w:spacing w:after="160" w:before="0" w:line="240" w:lineRule="auto"/>
        <w:ind w:firstLine="720"/>
        <w:jc w:val="both"/>
      </w:pPr>
      <w:r>
        <w:rPr>
          <w:rFonts w:ascii="Times New Roman" w:hAnsi="Times New Roman" w:eastAsia="Times New Roman"/>
          <w:b w:val="0"/>
          <w:i w:val="0"/>
          <w:sz w:val="24"/>
        </w:rPr>
        <w:t xml:space="preserve">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w:t>
      </w:r>
      <w:commentRangeStart w:id="2"/>
      <w:r>
        <w:rPr>
          <w:rFonts w:ascii="Times New Roman" w:hAnsi="Times New Roman" w:eastAsia="Times New Roman"/>
          <w:b w:val="0"/>
          <w:i w:val="0"/>
          <w:sz w:val="24"/>
        </w:rPr>
        <w:t>UW XX-XXX</w:t>
      </w:r>
      <w:commentRangeEnd w:id="2"/>
      <w:r>
        <w:rPr>
          <w:rStyle w:val="CommentReference"/>
        </w:rPr>
        <w:commentReference w:id="2"/>
      </w:r>
      <w:r>
        <w:rPr>
          <w:rFonts w:ascii="Times New Roman" w:hAnsi="Times New Roman" w:eastAsia="Times New Roman"/>
          <w:b w:val="0"/>
          <w:i w:val="0"/>
          <w:sz w:val="24"/>
        </w:rPr>
        <w:t>).</w:t>
      </w:r>
    </w:p>
    <w:p>
      <w:pPr>
        <w:spacing w:after="120" w:before="160" w:line="240" w:lineRule="auto"/>
        <w:ind w:firstLine="0"/>
        <w:jc w:val="left"/>
      </w:pPr>
      <w:r>
        <w:rPr>
          <w:rFonts w:ascii="Times New Roman" w:hAnsi="Times New Roman" w:eastAsia="Times New Roman"/>
          <w:b/>
          <w:i w:val="0"/>
          <w:sz w:val="24"/>
        </w:rPr>
        <w:t>Data sources</w:t>
      </w:r>
    </w:p>
    <w:p>
      <w:pPr>
        <w:spacing w:after="120" w:before="160" w:line="240" w:lineRule="auto"/>
        <w:ind w:firstLine="0"/>
        <w:jc w:val="left"/>
      </w:pPr>
      <w:r>
        <w:rPr>
          <w:rFonts w:ascii="Times New Roman" w:hAnsi="Times New Roman" w:eastAsia="Times New Roman"/>
          <w:b/>
          <w:i/>
          <w:sz w:val="24"/>
        </w:rPr>
        <w:t>Health data</w:t>
      </w:r>
    </w:p>
    <w:p>
      <w:pPr>
        <w:spacing w:after="160" w:before="0" w:line="240" w:lineRule="auto"/>
        <w:ind w:firstLine="720"/>
        <w:jc w:val="both"/>
      </w:pPr>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w:t>
      </w:r>
    </w:p>
    <w:p>
      <w:pPr>
        <w:spacing w:after="160" w:before="0" w:line="240" w:lineRule="auto"/>
        <w:ind w:firstLine="720"/>
        <w:jc w:val="both"/>
      </w:pPr>
      <w:commentRangeStart w:id="3"/>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commentRangeEnd w:id="3"/>
      <w:r>
        <w:rPr>
          <w:rStyle w:val="CommentReference"/>
        </w:rPr>
        <w:commentReference w:id="3"/>
      </w:r>
    </w:p>
    <w:p>
      <w:pPr>
        <w:spacing w:after="120" w:before="160" w:line="240" w:lineRule="auto"/>
        <w:ind w:firstLine="0"/>
        <w:jc w:val="left"/>
      </w:pPr>
      <w:r>
        <w:rPr>
          <w:rFonts w:ascii="Times New Roman" w:hAnsi="Times New Roman" w:eastAsia="Times New Roman"/>
          <w:b/>
          <w:i/>
          <w:sz w:val="24"/>
        </w:rPr>
        <w:t>Weather and pollutants data</w:t>
      </w:r>
    </w:p>
    <w:p>
      <w:pPr>
        <w:spacing w:after="160" w:before="0" w:line="240" w:lineRule="auto"/>
        <w:ind w:firstLine="720"/>
        <w:jc w:val="both"/>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xml:space="preserve">) were obtained from the Hong Kong Environmental Protection Department (EPD). </w:t>
      </w:r>
      <w:commentRangeStart w:id="4"/>
      <w:r>
        <w:rPr>
          <w:rFonts w:ascii="Times New Roman" w:hAnsi="Times New Roman" w:eastAsia="Times New Roman"/>
          <w:b w:val="0"/>
          <w:i w:val="0"/>
          <w:sz w:val="24"/>
        </w:rPr>
        <w:t>All monthly data were derived by taking the average of daily data in each calendar month.</w:t>
      </w:r>
      <w:commentRangeEnd w:id="4"/>
      <w:r>
        <w:rPr>
          <w:rStyle w:val="CommentReference"/>
        </w:rPr>
        <w:commentReference w:id="4"/>
      </w:r>
    </w:p>
    <w:p>
      <w:pPr>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(PM2.5) from the same general stations was assembled for sensitivity analysis only.</w:t>
      </w:r>
    </w:p>
    <w:p>
      <w:pPr>
        <w:spacing w:after="120" w:before="160" w:line="240" w:lineRule="auto"/>
        <w:ind w:firstLine="0"/>
        <w:jc w:val="left"/>
      </w:pPr>
      <w:r>
        <w:rPr>
          <w:rFonts w:ascii="Times New Roman" w:hAnsi="Times New Roman" w:eastAsia="Times New Roman"/>
          <w:b/>
          <w:i/>
          <w:sz w:val="24"/>
        </w:rPr>
        <w:t>Population</w:t>
      </w:r>
    </w:p>
    <w:p>
      <w:pPr>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before="160" w:line="240" w:lineRule="auto"/>
        <w:ind w:firstLine="0"/>
        <w:jc w:val="left"/>
      </w:pPr>
      <w:r>
        <w:rPr>
          <w:rFonts w:ascii="Times New Roman" w:hAnsi="Times New Roman" w:eastAsia="Times New Roman"/>
          <w:b/>
          <w:i w:val="0"/>
          <w:sz w:val="24"/>
        </w:rPr>
        <w:t>Statistical analysis</w:t>
      </w:r>
    </w:p>
    <w:p>
      <w:pPr>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w:t>
      </w:r>
      <w:r>
        <w:rPr>
          <w:rFonts w:ascii="Times New Roman" w:hAnsi="Times New Roman" w:eastAsia="Times New Roman"/>
          <w:b w:val="0"/>
          <w:i/>
          <w:sz w:val="24"/>
          <w:vertAlign w:val="subscript"/>
        </w:rPr>
        <w:t>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4"/>
        </w:rPr>
        <w:t>log E(Yt) = log(dt) + α + β Xt + Σm=2..12 γm I(montht = m) + s(t; 4 df).   (1)</w:t>
      </w:r>
    </w:p>
    <w:p>
      <w:pPr>
        <w:spacing w:after="160" w:before="0" w:line="240" w:lineRule="auto"/>
        <w:ind w:firstLine="720"/>
        <w:jc w:val="both"/>
      </w:pPr>
      <w:r>
        <w:rPr>
          <w:rFonts w:ascii="Times New Roman" w:hAnsi="Times New Roman" w:eastAsia="Times New Roman"/>
          <w:b w:val="0"/>
          <w:i w:val="0"/>
          <w:sz w:val="24"/>
        </w:rPr>
        <w:t>Here dt is the number of days in month t; α is the intercept; Xt is one weather variable; β is the coefficient for that weather variable; I(montht = m) is 1 if month t is calendar month m and 0 otherwise (January is the reference month); γm is how much higher or lower month m is than January; and s(t; 4 df) is a smooth curve of time with four degrees of freedom, used to capture slow change over the eleven years. In words, the left side is the log of the expected hospital count. The estimate we report is e^β, the ratio of expected monthly counts for a 1 °C change in a temperature variable or a five-day change in an official day count.</w:t>
      </w:r>
    </w:p>
    <w:p>
      <w:pPr>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(Tmax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spacing w:after="160" w:before="0" w:line="240" w:lineRule="auto"/>
        <w:ind w:firstLine="720"/>
        <w:jc w:val="both"/>
      </w:pPr>
      <w:r>
        <w:rPr>
          <w:rFonts w:ascii="Times New Roman" w:hAnsi="Times New Roman" w:eastAsia="Times New Roman"/>
          <w:b w:val="0"/>
          <w:i w:val="0"/>
          <w:sz w:val="24"/>
        </w:rPr>
        <w:t>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q-value is a p-value adjusted for testing the twelve Model 1 fits together [20]. Table 2 reports Model 1.</w:t>
      </w:r>
    </w:p>
    <w:p>
      <w:pPr>
        <w:spacing w:after="160" w:before="0" w:line="240" w:lineRule="auto"/>
        <w:ind w:firstLine="720"/>
        <w:jc w:val="both"/>
      </w:pPr>
      <w:commentRangeStart w:id="5"/>
      <w:r>
        <w:rPr>
          <w:rFonts w:ascii="Times New Roman" w:hAnsi="Times New Roman" w:eastAsia="Times New Roman"/>
          <w:b w:val="0"/>
          <w:i w:val="0"/>
          <w:sz w:val="24"/>
        </w:rPr>
        <w:t>Model 2 additionally adds monthly mean relative humidity [21] and monthly total rainfall [22] to Model 1. Goggins and Chan entered daily mean temperature, humidity, and wind speed as predictors of daily heart-failure admissions in Hong Kong, and reported that both high and low relative humidity were modestly associated with more admissions [21]. Chan et al. entered same-day rainfall on the hypothesis that heavy rain deters hospital attendance [22]. Both papers used daily terms; a monthly mean and a monthly total are coarser. Table 2 reports Model 1.</w:t>
      </w:r>
      <w:commentRangeEnd w:id="5"/>
      <w:r>
        <w:rPr>
          <w:rStyle w:val="CommentReference"/>
        </w:rPr>
        <w:commentReference w:id="5"/>
      </w:r>
    </w:p>
    <w:p>
      <w:pPr>
        <w:spacing w:after="160" w:before="0" w:line="240" w:lineRule="auto"/>
        <w:ind w:firstLine="720"/>
        <w:jc w:val="both"/>
      </w:pPr>
      <w:r>
        <w:rPr>
          <w:rFonts w:ascii="Times New Roman" w:hAnsi="Times New Roman" w:eastAsia="Times New Roman"/>
          <w:b w:val="0"/>
          <w:i w:val="0"/>
          <w:sz w:val="24"/>
        </w:rPr>
        <w:t>Model 3 counts, for each month, the days whose daily mean temperature was above or below the historical average for that day of the year. For 15 July 2018, that historical average is the leave-one-year-out mean of other 15 July daily mean temperatures in Hong Kong Observatory records for 2012–2023. Equal values are counted as neither. The same counts based on daily maximum and minimum temperature are sensitivities; they do not replace the daily-mean counts. Model 3 is specified and is not reported in Table 2. No Model 3 health coefficients are reported.</w:t>
      </w:r>
    </w:p>
    <w:p>
      <w:pPr>
        <w:spacing w:after="120" w:before="160" w:line="240" w:lineRule="auto"/>
        <w:ind w:firstLine="0"/>
        <w:jc w:val="left"/>
      </w:pPr>
      <w:r>
        <w:rPr>
          <w:rFonts w:ascii="Times New Roman" w:hAnsi="Times New Roman" w:eastAsia="Times New Roman"/>
          <w:b/>
          <w:i w:val="0"/>
          <w:sz w:val="24"/>
        </w:rPr>
        <w:t>Sensitivity analysis</w:t>
      </w:r>
    </w:p>
    <w:p>
      <w:pPr>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3/5</w:t>
      </w:r>
      <w:r>
        <w:rPr>
          <w:rFonts w:ascii="Times New Roman" w:hAnsi="Times New Roman" w:eastAsia="Times New Roman"/>
          <w:b w:val="0"/>
          <w:i w:val="0"/>
          <w:sz w:val="24"/>
        </w:rPr>
        <w:t xml:space="preserve"> and the count ratio per one day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1/5</w:t>
      </w:r>
      <w:r>
        <w:rPr>
          <w:rFonts w:ascii="Times New Roman" w:hAnsi="Times New Roman" w:eastAsia="Times New Roman"/>
          <w:b w:val="0"/>
          <w:i w:val="0"/>
          <w:sz w:val="24"/>
        </w:rPr>
        <w:t>. Those are the same coefficient on a different scale, not a new model. The maximum- and minimum-temperature versions of the Model 3 day counts are sensitivities; they do not replace the daily-mean counts in Model 3.</w:t>
      </w:r>
    </w:p>
    <w:p>
      <w:pPr>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Those checks change the control for slow calendar time, not the length of a heatwave. Further checks were the study window (dropping the first 12 or 24 months, or stopping at December 2019); COVID-period indicators; weather one or two months earlier; and dropping the most influential month. COVID periods were: through January 2020; February 2020–December 2021; January–April 2022; May–December 2022; and from January 2023. Cold-day models restricted to November–March are a labelled sensitivity.</w:t>
      </w:r>
    </w:p>
    <w:p>
      <w:pPr>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spacing w:after="120" w:before="160" w:line="240" w:lineRule="auto"/>
        <w:ind w:firstLine="0"/>
        <w:jc w:val="left"/>
      </w:pPr>
      <w:r>
        <w:rPr>
          <w:rFonts w:ascii="Times New Roman" w:hAnsi="Times New Roman" w:eastAsia="Times New Roman"/>
          <w:b/>
          <w:i w:val="0"/>
          <w:sz w:val="24"/>
        </w:rPr>
        <w:t>Software</w:t>
      </w:r>
    </w:p>
    <w:p>
      <w:pPr>
        <w:spacing w:after="160" w:before="0" w:line="240" w:lineRule="auto"/>
        <w:ind w:firstLine="720"/>
        <w:jc w:val="both"/>
      </w:pPr>
      <w:r>
        <w:rPr>
          <w:rFonts w:ascii="Times New Roman" w:hAnsi="Times New Roman" w:eastAsia="Times New Roman"/>
          <w:b w:val="0"/>
          <w:i w:val="0"/>
          <w:sz w:val="24"/>
        </w:rPr>
        <w:t>Analyses were conducted in R 4.3.3 (2024-02-29). Negative-binomial models used MASS::glm.nb (MASS 7.3-60.0.1). Newey–West and HC1 standard errors used sandwich 3.1.3. Natural cubic splines used splines::ns.</w:t>
      </w:r>
    </w:p>
    <w:p>
      <w:pPr>
        <w:pageBreakBefore/>
        <w:spacing w:after="120" w:before="0" w:line="240" w:lineRule="auto"/>
        <w:ind w:firstLine="0"/>
        <w:jc w:val="left"/>
      </w:pPr>
      <w:r>
        <w:rPr>
          <w:rFonts w:ascii="Times New Roman" w:hAnsi="Times New Roman" w:eastAsia="Times New Roman"/>
          <w:b/>
          <w:i w:val="0"/>
          <w:sz w:val="28"/>
        </w:rPr>
        <w:t>Results</w:t>
      </w:r>
    </w:p>
    <w:p>
      <w:pPr>
        <w:spacing w:after="120" w:before="160" w:line="240" w:lineRule="auto"/>
        <w:ind w:firstLine="0"/>
        <w:jc w:val="left"/>
      </w:pPr>
      <w:r>
        <w:rPr>
          <w:rFonts w:ascii="Times New Roman" w:hAnsi="Times New Roman" w:eastAsia="Times New Roman"/>
          <w:b/>
          <w:i w:val="0"/>
          <w:sz w:val="24"/>
        </w:rPr>
        <w:t>Outcome series</w:t>
      </w:r>
    </w:p>
    <w:p>
      <w:pPr>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Figure 1 indexes both series to 2013. The decline in first-event counts is compatible with depletion of the at-risk set in a 2013–2023 diagnosis window, together with pandemic changes in care-seeking. It is not a measure of falling incidence in the territory, and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keepNext/>
        <w:keepLines/>
        <w:pageBreakBefore/>
        <w:spacing w:after="200" w:before="0" w:line="240" w:lineRule="auto"/>
        <w:ind w:firstLine="0"/>
        <w:jc w:val="left"/>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2088"/>
        <w:gridCol w:w="1123"/>
        <w:gridCol w:w="792"/>
        <w:gridCol w:w="1224"/>
        <w:gridCol w:w="1368"/>
        <w:gridCol w:w="2419"/>
      </w:tblGrid>
      <w:tr>
        <w:trPr>
          <w:cantSplit/>
          <w:tblHeader/>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w:t>
            </w:r>
          </w:p>
        </w:tc>
      </w:tr>
      <w:tr>
        <w:trPr>
          <w:cantSplit/>
        </w:trPr>
        <w:tc>
          <w:tcPr>
            <w:tcW w:type="dxa" w:w="208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Heart failure</w:t>
            </w:r>
          </w:p>
        </w:tc>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29,681</w:t>
            </w:r>
          </w:p>
        </w:tc>
        <w:tc>
          <w:tcPr>
            <w:tcW w:type="dxa" w:w="136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224.9</w:t>
            </w:r>
          </w:p>
        </w:tc>
        <w:tc>
          <w:tcPr>
            <w:tcW w:type="dxa" w:w="2419"/>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First recorded hospitalisation after first HF diagnosis</w:t>
            </w:r>
          </w:p>
        </w:tc>
      </w:tr>
    </w:tbl>
    <w:p>
      <w:pPr>
        <w:spacing w:after="120" w:before="0" w:line="240" w:lineRule="auto"/>
        <w:ind w:firstLine="0"/>
        <w:jc w:val="left"/>
      </w:pP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5669280" cy="5811011"/>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w:t>
      </w:r>
    </w:p>
    <w:p>
      <w:pPr>
        <w:pageBreakBefore/>
        <w:spacing w:after="120" w:before="0" w:line="240" w:lineRule="auto"/>
        <w:ind w:firstLine="0"/>
        <w:jc w:val="left"/>
      </w:pPr>
      <w:r>
        <w:rPr>
          <w:rFonts w:ascii="Times New Roman" w:hAnsi="Times New Roman" w:eastAsia="Times New Roman"/>
          <w:b/>
          <w:i w:val="0"/>
          <w:sz w:val="24"/>
        </w:rPr>
        <w:t>Exposure context</w:t>
      </w:r>
    </w:p>
    <w:p>
      <w:pPr>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[6]. The 2013 count was about seven days below the 1981–2010 normal [2]. The 2021 count was the highest annual number of hot nights in the Observatory record at that time [4]. Very hot days rose from 17 to 54 over the same 2013–2021 comparison, and were 54 in 2023 [6]. Cold days were 14 in 2013 and 14 in 2023, with 1 in 2019 and 13 in 2021 [6]. These are exposure counts, and not health effects.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669280" cy="4110228"/>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w:t>
      </w:r>
    </w:p>
    <w:p>
      <w:pPr>
        <w:keepNext/>
        <w:pageBreakBefore/>
        <w:spacing w:after="120" w:before="0" w:line="240" w:lineRule="auto"/>
        <w:ind w:firstLine="0"/>
        <w:jc w:val="left"/>
      </w:pPr>
      <w:r>
        <w:rPr>
          <w:rFonts w:ascii="Times New Roman" w:hAnsi="Times New Roman" w:eastAsia="Times New Roman"/>
          <w:b/>
          <w:i w:val="0"/>
          <w:sz w:val="24"/>
        </w:rPr>
        <w:t>Model 1</w:t>
      </w:r>
    </w:p>
    <w:p>
      <w:pPr>
        <w:keepNext/>
        <w:spacing w:after="160" w:before="0" w:line="240" w:lineRule="auto"/>
        <w:ind w:firstLine="720"/>
        <w:jc w:val="both"/>
      </w:pPr>
      <w:r>
        <w:rPr>
          <w:rFonts w:ascii="Times New Roman" w:hAnsi="Times New Roman" w:eastAsia="Times New Roman"/>
          <w:b w:val="0"/>
          <w:i w:val="0"/>
          <w:sz w:val="24"/>
        </w:rPr>
        <w:t>Table 2 reports the twelve separate-exposure count ratios under the offset for the number of days in the month and Newey–West lag-6 intervals.</w:t>
      </w:r>
    </w:p>
    <w:p>
      <w:pPr>
        <w:keepNext/>
        <w:keepLines/>
        <w:spacing w:after="200" w:before="120" w:line="240" w:lineRule="auto"/>
        <w:ind w:firstLine="0"/>
        <w:jc w:val="left"/>
      </w:pPr>
      <w:commentRangeStart w:id="6"/>
      <w:r>
        <w:rPr>
          <w:rFonts w:ascii="Times New Roman" w:hAnsi="Times New Roman" w:eastAsia="Times New Roman"/>
          <w:b w:val="0"/>
          <w:i/>
          <w:sz w:val="22"/>
        </w:rPr>
        <w:t>Table 2. Model 1: negative-binomial models with an offset for the number of days in the month and Newey–West lag-6 intervals.</w:t>
      </w:r>
      <w:commentRangeEnd w:id="6"/>
      <w:r>
        <w:rPr>
          <w:rStyle w:val="CommentReference"/>
        </w:rPr>
        <w:commentReference w:id="6"/>
      </w:r>
    </w:p>
    <w:tbl>
      <w:tblPr>
        <w:tblStyle w:val="TableGrid"/>
        <w:tblLayout w:type="fixed"/>
        <w:tblLook w:firstColumn="1" w:firstRow="1" w:lastColumn="0" w:lastRow="0" w:noHBand="0" w:noVBand="1" w:val="04A0"/>
        <w:tblW w:w="5000" w:type="pct"/>
        <w:tblLayout w:type="fixed"/>
      </w:tblPr>
      <w:tblGrid>
        <w:gridCol w:w="1123"/>
        <w:gridCol w:w="2951"/>
        <w:gridCol w:w="2995"/>
        <w:gridCol w:w="792"/>
        <w:gridCol w:w="1152"/>
      </w:tblGrid>
      <w:tr>
        <w:trPr>
          <w:cantSplit/>
          <w:tblHeader/>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Outcome</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Exposure contrast</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Count ratio (95% CI)</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p</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BH q</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(0.976–1.010)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0.424</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0.726</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(0.979–1.007)</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0.321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0.642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0.994 (0.977–1.012)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0.509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0.764</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1.022 (1.002–1.042)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0.995 (0.949–1.043)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0.999 (0.974–1.025)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0.974 (0.947–1.002)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0.069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0.207</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0.981 (0.958–1.005)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0.113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0.272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0.973 (0.947–1.000)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0.050</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1.003 (0.976–1.031)</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0.825</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1.073 (1.006–1.144)</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0.995 (0.963–1.028)</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0.764</w:t>
            </w:r>
          </w:p>
        </w:tc>
        <w:tc>
          <w:tcPr>
            <w:tcW w:type="dxa" w:w="11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0.900</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All twelve q-values exceeded 0.19, with a minimum of 0.192. No model meets a multiplicity-protected confirmatory threshold. The HF mean-minimum-temperature interval narrowly included 1, with an unrounded upper bound of 1.00005.</w:t>
      </w:r>
    </w:p>
    <w:p>
      <w:pPr>
        <w:spacing w:after="160" w:before="0" w:line="240" w:lineRule="auto"/>
        <w:ind w:firstLine="720"/>
        <w:jc w:val="both"/>
      </w:pPr>
      <w:r>
        <w:rPr>
          <w:rFonts w:ascii="Times New Roman" w:hAnsi="Times New Roman" w:eastAsia="Times New Roman"/>
          <w:b w:val="0"/>
          <w:i w:val="0"/>
          <w:sz w:val="24"/>
        </w:rPr>
        <w:t>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[17]. For HF, the continuous temperature estimates were weakly inverse, and the cold-day count estimate was positive.</w:t>
      </w:r>
    </w:p>
    <w:p>
      <w:pPr>
        <w:keepNext/>
        <w:pageBreakBefore/>
        <w:spacing w:after="120" w:before="0" w:line="240" w:lineRule="auto"/>
        <w:ind w:firstLine="0"/>
        <w:jc w:val="left"/>
      </w:pPr>
      <w:r>
        <w:rPr>
          <w:rFonts w:ascii="Times New Roman" w:hAnsi="Times New Roman" w:eastAsia="Times New Roman"/>
          <w:b/>
          <w:i w:val="0"/>
          <w:sz w:val="24"/>
        </w:rPr>
        <w:t>Uncertainty ladder</w:t>
      </w:r>
    </w:p>
    <w:p>
      <w:pPr>
        <w:keepNext/>
        <w:keepLines/>
        <w:spacing w:after="200" w:before="120" w:line="240" w:lineRule="auto"/>
        <w:ind w:firstLine="0"/>
        <w:jc w:val="left"/>
      </w:pPr>
      <w:r>
        <w:rPr>
          <w:rFonts w:ascii="Times New Roman" w:hAnsi="Times New Roman" w:eastAsia="Times New Roman"/>
          <w:b w:val="0"/>
          <w:i/>
          <w:sz w:val="22"/>
        </w:rPr>
        <w:t>Table 3. Uncertainty ladder for the two leading exploratory contrasts.</w:t>
      </w:r>
    </w:p>
    <w:tbl>
      <w:tblPr>
        <w:tblStyle w:val="TableGrid"/>
        <w:tblLayout w:type="fixed"/>
        <w:tblLook w:firstColumn="1" w:firstRow="1" w:lastColumn="0" w:lastRow="0" w:noHBand="0" w:noVBand="1" w:val="04A0"/>
        <w:tblW w:w="5000" w:type="pct"/>
        <w:tblLayout w:type="fixed"/>
      </w:tblPr>
      <w:tblGrid>
        <w:gridCol w:w="2160"/>
        <w:gridCol w:w="1713"/>
        <w:gridCol w:w="1713"/>
        <w:gridCol w:w="1713"/>
        <w:gridCol w:w="1713"/>
      </w:tblGrid>
      <w:tr>
        <w:trPr>
          <w:cantSplit/>
          <w:tblHeader/>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2160"/>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(1.023–1.125)</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(1.011–1.138)</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(1.007–1.143)</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q remained 0.192. Concordance across standard-error methods does not create multiplicity protection.</w:t>
      </w:r>
    </w:p>
    <w:p>
      <w:pPr>
        <w:spacing w:after="120" w:before="160" w:line="240" w:lineRule="auto"/>
        <w:ind w:firstLine="0"/>
        <w:jc w:val="left"/>
      </w:pPr>
      <w:r>
        <w:rPr>
          <w:rFonts w:ascii="Times New Roman" w:hAnsi="Times New Roman" w:eastAsia="Times New Roman"/>
          <w:b/>
          <w:i w:val="0"/>
          <w:sz w:val="24"/>
        </w:rPr>
        <w:t>Joint models and residual diagnostics</w:t>
      </w:r>
    </w:p>
    <w:p>
      <w:pPr>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(Supplementary Figure S1).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part of the inferential problem for CHD, which is why the four-construction ladder is shown rather than a single interval.</w:t>
      </w:r>
    </w:p>
    <w:p>
      <w:pPr>
        <w:spacing w:after="120" w:before="160" w:line="240" w:lineRule="auto"/>
        <w:ind w:firstLine="0"/>
        <w:jc w:val="left"/>
      </w:pPr>
      <w:r>
        <w:rPr>
          <w:rFonts w:ascii="Times New Roman" w:hAnsi="Times New Roman" w:eastAsia="Times New Roman"/>
          <w:b/>
          <w:i w:val="0"/>
          <w:sz w:val="24"/>
        </w:rPr>
        <w:t>Sensitivity analyses</w:t>
      </w:r>
    </w:p>
    <w:p>
      <w:pPr>
        <w:spacing w:after="160" w:before="0" w:line="240" w:lineRule="auto"/>
        <w:ind w:firstLine="720"/>
        <w:jc w:val="both"/>
      </w:pPr>
      <w:r>
        <w:rPr>
          <w:rFonts w:ascii="Times New Roman" w:hAnsi="Times New Roman" w:eastAsia="Times New Roman"/>
          <w:b w:val="0"/>
          <w:i w:val="0"/>
          <w:sz w:val="24"/>
        </w:rPr>
        <w:t>Offset choice changed the Model 1 count ratios only trivially. Across trend, window, and COVID-phase specifications, the CHD hot-night ratio ranged from 1.011 to 1.025, and the HF cold-day ratio from 1.043 to 1.113 (Figure 3). The HF cold-day association was strongest before 2020 (1.113, 1.053–1.176). The CHD hot-night association was weaker and compatible with 1 in the pre-2020 window (1.011, 0.991–1.032) and under COVID-phase adjustment (1.013, 0.994–1.033). Figure 3 shows the three official day counts for each outcome under nine trend, window, and COVID-period specifications. For CHD hot nights, the 6-df and 8-df intervals exclude 1 (1.024, 1.005–1.044; 1.023, 1.005–1.042). The 3-df interval includes 1 (1.011, 0.990–1.032). The year-indicator interval has the highest point estimate of the trend checks and includes 1 (1.025, 0.9998–1.050). No trend specification is preferred over the 4-df spline in Model 1. Among specifications more flexible than Model 1, only the 6-df spline keeps both residual intervals away from 1. For HF cold days, the 8-df interval includes 1 (1.062, 0.994–1.135). The pre-2020 window moved more than those two contrasts: nine of the twelve Newey–West lag-6 intervals excluded 1 in that 84-month window, including inverse associations for all six continuous temperature contrasts (Supplementary Figure S6; Supplementary Table S2). No multiplicity control was computed within that window, and no pre-2020 estimate is promoted beyond a sensitivity. The decline in first events and the rise in hot nights are both strong trends across this window, and the same 4-df spline absorbs both.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6720840"/>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5669280" cy="6720840"/>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3. Model 1 count ratios for official day counts across time-trend, window, and COVID-period specifications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Pre-2020 is January 2013–December 2019 (84 months). Continuous-temperature fits for the same specifications are shown in Supplementary Figure S6.</w:t>
      </w:r>
    </w:p>
    <w:p>
      <w:pPr>
        <w:spacing w:after="160" w:before="0" w:line="240" w:lineRule="auto"/>
        <w:ind w:firstLine="720"/>
        <w:jc w:val="both"/>
      </w:pPr>
      <w:r>
        <w:rPr>
          <w:rFonts w:ascii="Times New Roman" w:hAnsi="Times New Roman" w:eastAsia="Times New Roman"/>
          <w:b w:val="0"/>
          <w:i w:val="0"/>
          <w:sz w:val="24"/>
        </w:rPr>
        <w:t>The simulated daily-recovery method failed its worst-cell criteria: null Type I error ranged from 0.048 to 0.150, minimum coverage was 0.840, maximum non-null relative bias was 32.8, and the maximum moderate false-sign rate was 0.808 (Supplementary Table S8). No real daily coefficient is reported. That refusal is specific to this monthly series and this implementation.</w:t>
      </w:r>
    </w:p>
    <w:p>
      <w:pPr>
        <w:pageBreakBefore/>
        <w:spacing w:after="120" w:before="0" w:line="240" w:lineRule="auto"/>
        <w:ind w:firstLine="0"/>
        <w:jc w:val="left"/>
      </w:pPr>
      <w:r>
        <w:rPr>
          <w:rFonts w:ascii="Times New Roman" w:hAnsi="Times New Roman" w:eastAsia="Times New Roman"/>
          <w:b/>
          <w:i w:val="0"/>
          <w:sz w:val="28"/>
        </w:rPr>
        <w:t>Discussion</w:t>
      </w:r>
    </w:p>
    <w:p>
      <w:pPr>
        <w:spacing w:after="160" w:before="0" w:line="240" w:lineRule="auto"/>
        <w:ind w:firstLine="720"/>
        <w:jc w:val="both"/>
      </w:pPr>
      <w:r>
        <w:rPr>
          <w:rFonts w:ascii="Times New Roman" w:hAnsi="Times New Roman" w:eastAsia="Times New Roman"/>
          <w:b w:val="0"/>
          <w:i w:val="0"/>
          <w:sz w:val="24"/>
        </w:rPr>
        <w:t>These data do not support a multiplicity-protected differential thermal claim for CHD relative to HF. Under Newey–West lag-6 reporting for Model 1, CHD first-hospitalisation counts were more closely associated with official hot-night burden than with mean temperature or cold days. HF counts were more closely associated with cold-day burden than with hot nights. Both patterns sit inside twelve Model 1 fits in which every q-value exceeds 0.19. The complete set is therefore reported, and no model is promoted to a primary result.</w:t>
      </w:r>
    </w:p>
    <w:p>
      <w:pPr>
        <w:spacing w:after="160" w:before="0" w:line="240" w:lineRule="auto"/>
        <w:ind w:firstLine="720"/>
        <w:jc w:val="both"/>
      </w:pPr>
      <w:r>
        <w:rPr>
          <w:rFonts w:ascii="Times New Roman" w:hAnsi="Times New Roman" w:eastAsia="Times New Roman"/>
          <w:b w:val="0"/>
          <w:i w:val="0"/>
          <w:sz w:val="24"/>
        </w:rPr>
        <w:t>The HF cold-day association is the more coherent of the two residual signals. It is concordant across all four standard-error constructions. It survives exclusion of the most influential pandemic month. It is not produced by entering correlated heat metrics jointly. It is strongest in the pre-2020 window, before pandemic disruption of care-seeking. It nevertheless remains unprotected by its q-value. Because official cold days fall almost entirely in December–February, and because only 29 of 132 months carry any official cold day, the association is identified from differences between winters rather than from a summer-versus-winter contrast. That is a limit of matching monthly hospital counts to monthly weather, not a reason to drop the cold-day series.</w:t>
      </w:r>
    </w:p>
    <w:p>
      <w:pPr>
        <w:spacing w:after="160" w:before="0" w:line="240" w:lineRule="auto"/>
        <w:ind w:firstLine="720"/>
        <w:jc w:val="both"/>
      </w:pPr>
      <w:r>
        <w:rPr>
          <w:rFonts w:ascii="Times New Roman" w:hAnsi="Times New Roman" w:eastAsia="Times New Roman"/>
          <w:b w:val="0"/>
          <w:i w:val="0"/>
          <w:sz w:val="24"/>
        </w:rPr>
        <w:t>The CHD hot-night association is smaller, depends on the uncertainty method, and was not evident in the pre-2020 window. Model-based and HC1 intervals include 1, whereas the Newey–West intervals exclude 1 on the unrounded scale (lag 3: 1.000253 to 1.043860). Pearson residual autocorrelation at lag 1 is 0.508 in that model, so inference for the CHD series depends on how serial dependence is handled. For this contrast the Newey–West intervals were narrower than the model-based interval, which is atypical under positive residual autocorrelation; the exclusion of 1 therefore rests on the smaller robust variance estimate, and is a reason for caution rather than confirmation. No interval construction was chosen because it excluded 1. The estimate is also confined to specifications that include 2020–2023, which are the years in which hot nights peaked and in which care-seeking changed. Hot-night burden and the decline in first events both trend strongly across the window, and both are controlled by the same trend spline, so the hot-night contrast carries the harder identification problem of the two.</w:t>
      </w:r>
    </w:p>
    <w:p>
      <w:pPr>
        <w:spacing w:after="160" w:before="0" w:line="240" w:lineRule="auto"/>
        <w:ind w:firstLine="720"/>
        <w:jc w:val="both"/>
      </w:pPr>
      <w:r>
        <w:rPr>
          <w:rFonts w:ascii="Times New Roman" w:hAnsi="Times New Roman" w:eastAsia="Times New Roman"/>
          <w:b w:val="0"/>
          <w:i w:val="0"/>
          <w:sz w:val="24"/>
        </w:rPr>
        <w:t>The two residual signals are sensitive to the time trend in opposite directions. The CHD hot-night interval includes 1 under a stiffer 3-df spline (1.011, 0.990–1.032). It excludes 1 under the 6-df and 8-df splines (1.024, 1.005–1.044; 1.023, 1.005–1.042). The year-indicator interval has the highest point estimate of the trend checks and includes 1 (1.025, 0.9998–1.050). The HF cold-day interval includes 1 under the most flexible 8-df spline (1.062, 0.994–1.135). That pattern concerns how the first-event decline and monthly thermal burden share one time smooth. The spline degrees of freedom are a model setting, and they do not describe a physiological duration. If a single more-flexible robustness check is named, it is the 6-df spline, because the 8-df spline opens the HF cold-day interval onto 1. That is an identification property of the time smooth.</w:t>
      </w:r>
    </w:p>
    <w:p>
      <w:pPr>
        <w:spacing w:after="160" w:before="0" w:line="240" w:lineRule="auto"/>
        <w:ind w:firstLine="720"/>
        <w:jc w:val="both"/>
      </w:pPr>
      <w:r>
        <w:rPr>
          <w:rFonts w:ascii="Times New Roman" w:hAnsi="Times New Roman" w:eastAsia="Times New Roman"/>
          <w:b w:val="0"/>
          <w:i w:val="0"/>
          <w:sz w:val="24"/>
        </w:rPr>
        <w:t>The direction of the HF cold-day residual is consistent with earlier daily evidence that lower temperature was associated with higher heart-failure admissions in Hong Kong [21]. The comparison is between questions, and not between magnitudes. A cumulative daily relative risk comparing 11 °C with 25 °C is not a monthly count ratio per five official cold days, and the present event is a first hospitalisation after a first HF diagnosis without recorded admission cause. The CHD hot-night residual should likewise be read against Guo et al. rather than as a replication of it [17]. That study reported no overall association for the official hot-night flag after adjustment for mean temperature, and a positive association for hourly nighttime excess heat [17]. The present analysis uses monthly official counts, a first-event CHD series, and a later decade. A difference between monthly mean temperature and monthly official hot-night counts does not identify an intensity mechanism.</w:t>
      </w:r>
    </w:p>
    <w:p>
      <w:pPr>
        <w:spacing w:after="160" w:before="0" w:line="240" w:lineRule="auto"/>
        <w:ind w:firstLine="720"/>
        <w:jc w:val="both"/>
      </w:pPr>
      <w:r>
        <w:rPr>
          <w:rFonts w:ascii="Times New Roman" w:hAnsi="Times New Roman" w:eastAsia="Times New Roman"/>
          <w:b w:val="0"/>
          <w:i w:val="0"/>
          <w:sz w:val="24"/>
        </w:rPr>
        <w:t>A monthly official-day total does not distinguish consecutive days from days scattered through the month. Interrupted overnight recovery is one hypothesis for why a hot-night count could differ from monthly mean temperature. The present monthly design cannot test that hypothesis. Five additional official days in a month is a reporting scale rather than a consecutive-day trigger. Hong Kong issues official heat and cold warnings. These estimates do not evaluate those warnings.</w:t>
      </w:r>
    </w:p>
    <w:p>
      <w:pPr>
        <w:spacing w:after="160" w:before="0" w:line="240" w:lineRule="auto"/>
        <w:ind w:firstLine="720"/>
        <w:jc w:val="both"/>
      </w:pPr>
      <w:r>
        <w:rPr>
          <w:rFonts w:ascii="Times New Roman" w:hAnsi="Times New Roman" w:eastAsia="Times New Roman"/>
          <w:b w:val="0"/>
          <w:i w:val="0"/>
          <w:sz w:val="24"/>
        </w:rPr>
        <w:t>Candidate mechanisms for a night residual sit outside this design. Ambient heat is associated with shorter and more fragmented sleep [23]. In a ten-day confinement study of seven young men, three nights at 26.3 °C left nocturnal core temperature 0.2 °C higher during and after those nights than before them, and total sleep time fell with overnight core temperature [24]. In 47 adults aged 65 years or older, bedroom temperatures above 24 °C were associated with lower heart-rate variability [25]. Those studies do not measure first CHD hospitalisation in Hong Kong, and they do not measure indoor temperature in this series. A scoping review found only three studies that linked extreme heat, sleep, and cardiovascular measures; blood-pressure findings were mixed, and none demonstrated sleep as a mediator of hospitalisation [26]. Guo et al. already showed that an official hot-night flag can be null after mean temperature while hourly nighttime excess heat is not [17]. The physiological claim is therefore a hypothesis: nights may matter for CHD because overnight recovery of core temperature, sleep, and autonomic tone can fail, whereas a monthly very-hot-day count does not encode that failure. This panel does not identify that pathway.</w:t>
      </w:r>
    </w:p>
    <w:p>
      <w:pPr>
        <w:spacing w:after="160" w:before="0" w:line="240" w:lineRule="auto"/>
        <w:ind w:firstLine="720"/>
        <w:jc w:val="both"/>
      </w:pPr>
      <w:r>
        <w:rPr>
          <w:rFonts w:ascii="Times New Roman" w:hAnsi="Times New Roman" w:eastAsia="Times New Roman"/>
          <w:b w:val="0"/>
          <w:i w:val="0"/>
          <w:sz w:val="24"/>
        </w:rPr>
        <w:t>A corresponding hypothesis for HF is haemodynamic rather than nocturnal. Cold exposure can raise sympathetic outflow, peripheral resistance, and afterload; a failing heart has little reserve against that load [27,28]. Goggins and Chan's daily Hong Kong HF series remains the local epidemiological neighbour, not a magnitude to import [21]. Influenza, indoor conditions, and care-seeking remain unseparated on a monthly grain [18]. The present counts do not measure afterload, blood pressure, or infection. The hypothesis is that official cold-day burden marks winters in which those loads are more frequent. A heat-only reading of this analysis would miss the more coherent residual.</w:t>
      </w:r>
    </w:p>
    <w:p>
      <w:pPr>
        <w:spacing w:after="160" w:before="0" w:line="240" w:lineRule="auto"/>
        <w:ind w:firstLine="720"/>
        <w:jc w:val="both"/>
      </w:pPr>
      <w:r>
        <w:rPr>
          <w:rFonts w:ascii="Times New Roman" w:hAnsi="Times New Roman" w:eastAsia="Times New Roman"/>
          <w:b w:val="0"/>
          <w:i w:val="0"/>
          <w:sz w:val="24"/>
        </w:rPr>
        <w:t>The World Health Organization's 2026 heat-health action-plan guidance organises response around eight core elements: governance; a heat-health warning system; populations at increased risk; communication; health-system resilience; reducing heat exposure; heat-health surveillance; and monitoring, evaluation and learning [29]. Hong Kong already operates a warning, communication, and shelter bundle rather than a single named municipal plan evaluated here. The Observatory issues a Very Hot Weather Warning, a Hot Weather Special Advisory, and, when that warning is in force, a Prolonged Heat Special Alert for a few days of very hot days or hot nights, together with an Extremely Hot Weather Special Alert near 35 °C and the Hong Kong Heat Index [30,31]. The Department of Health already names people with heart disease or high blood pressure among those at increased heat-stroke risk and advises indoor ventilation or air-conditioning [32]. The Home Affairs Department opens temporary heat shelters, and a separate Cold Weather Warning covers winter [31,33]. This panel can inform four of those elements and cannot evaluate any of them. The CHD residual, such as it is, sits with official hot-night counts rather than very-hot-day counts. The Prolonged Heat Special Alert already names hot nights beside very hot days (elements 2 and 4). That overlap is a mapping, not a test of the alert. The named at-risk group already includes this cohort's diagnoses (element 3). Indoor night temperature is the exposure-reduction hypothesis that the sleep and autonomic studies point to, not a consecutive-day trigger, and it was not measured here (element 6). A heat-only plan would omit the stronger HF cold-day residual, which sits with the Cold Weather Warning rather than with summer heat guidance. The estimates do not set a five-day trigger, do not count admissions averted, and do not say whether existing warnings work.</w:t>
      </w:r>
    </w:p>
    <w:p>
      <w:pPr>
        <w:spacing w:after="160" w:before="0" w:line="240" w:lineRule="auto"/>
        <w:ind w:firstLine="720"/>
        <w:jc w:val="both"/>
      </w:pPr>
      <w:r>
        <w:rPr>
          <w:rFonts w:ascii="Times New Roman" w:hAnsi="Times New Roman" w:eastAsia="Times New Roman"/>
          <w:b w:val="0"/>
          <w:i w:val="0"/>
          <w:sz w:val="24"/>
        </w:rPr>
        <w:t>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refusal is specific to this series, this implementation, and this calibration standard. It is not evidence that recovery of daily effects from aggregated outcomes fails in general.</w:t>
      </w:r>
    </w:p>
    <w:p>
      <w:pPr>
        <w:spacing w:after="160" w:before="0" w:line="240" w:lineRule="auto"/>
        <w:ind w:firstLine="720"/>
        <w:jc w:val="both"/>
      </w:pPr>
      <w:r>
        <w:rPr>
          <w:rFonts w:ascii="Times New Roman" w:hAnsi="Times New Roman" w:eastAsia="Times New Roman"/>
          <w:b w:val="0"/>
          <w:i w:val="0"/>
          <w:sz w:val="24"/>
        </w:rPr>
        <w:t>Pollution and influenza remain scientifically motivated in this setting [1,18]. Models that entered nitrogen dioxide or fine particulate matter are sensitivities, not replacements for Model 1. On a monthly grain they cannot separate confounding from mediation for ozone. On the 121 months with influenza data, an archive model associated higher influenza activity with higher CHD counts (Supplementary Table S7); that model is not an adjusted version of Model 1. Confounding by infection or ozone is therefore unresolved. Absent cohort person-time, even a stable count ratio remains a count ratio [14].</w:t>
      </w:r>
    </w:p>
    <w:p>
      <w:pPr>
        <w:spacing w:after="160" w:before="0" w:line="240" w:lineRule="auto"/>
        <w:ind w:firstLine="720"/>
        <w:jc w:val="both"/>
      </w:pPr>
      <w:r>
        <w:rPr>
          <w:rFonts w:ascii="Times New Roman" w:hAnsi="Times New Roman" w:eastAsia="Times New Roman"/>
          <w:b w:val="0"/>
          <w:i w:val="0"/>
          <w:sz w:val="24"/>
        </w:rPr>
        <w:t>The contribution of this analysis is identification rather than estimation. A monthly aggregate series of first events can be reported in a way that shows where its information comes from. Four displays do that work here: which months carry the exposure contrast, whether the outcome decline is compatible with risk-set depletion, how far each interval moves across standard-error constructions, and which specifications each estimate depends on. A protected primary claim would have required a predeclared confirmatory contrast, multiplicity control that survives the twelve Model 1 fits, uncertainty constructions that are not chosen for null exclusion, and residual diagnostics that leave no substantial CHD serial correlation unaddressed. This analysis does not meet that bar. We report the twelve Model 1 fits and the refusals.</w:t>
      </w:r>
    </w:p>
    <w:p>
      <w:pPr>
        <w:pageBreakBefore/>
        <w:spacing w:after="120" w:before="0" w:line="240" w:lineRule="auto"/>
        <w:ind w:firstLine="0"/>
        <w:jc w:val="left"/>
      </w:pPr>
      <w:r>
        <w:rPr>
          <w:rFonts w:ascii="Times New Roman" w:hAnsi="Times New Roman" w:eastAsia="Times New Roman"/>
          <w:b/>
          <w:i w:val="0"/>
          <w:sz w:val="28"/>
        </w:rPr>
        <w:t>Conclusion</w:t>
      </w:r>
    </w:p>
    <w:p>
      <w:pPr>
        <w:spacing w:after="160" w:before="0" w:line="240" w:lineRule="auto"/>
        <w:ind w:firstLine="720"/>
        <w:jc w:val="both"/>
      </w:pPr>
      <w:r>
        <w:rPr>
          <w:rFonts w:ascii="Times New Roman" w:hAnsi="Times New Roman" w:eastAsia="Times New Roman"/>
          <w:b w:val="0"/>
          <w:i w:val="0"/>
          <w:sz w:val="24"/>
        </w:rPr>
        <w:t>Between 2013 and 2023, hot nights in Hong Kong increased while cold days persisted. In monthly Hospital Authority counts for people with type 2 diabetes and/or hypertension, CHD first hospitalisations were more closely associated with hot nights, and HF first hospitalisations with cold days, than with the other thermal encodings examined. Neither association survived correction across the twelve Model 1 fits. The CHD estimate additionally depended on the treatment of uncertainty and on the inclusion of 2020–2023. This analysis therefore contributes a set of hypotheses, and an explicit account of what monthly aggregate counts cannot settle. Physiological accounts of overnight recovery and cold-related afterload, and a mapping onto published heat-health action-plan elements, are interpretation. They are not identified effects and not an evaluation of Hong Kong's warnings. Better-denominated and more finely resolved data are required before a thermal effect on cardiac hospitalisation in this cohort can be estimated.</w:t>
      </w:r>
    </w:p>
    <w:p>
      <w:pPr>
        <w:pageBreakBefore/>
        <w:spacing w:after="120" w:before="0" w:line="240" w:lineRule="auto"/>
        <w:ind w:firstLine="0"/>
        <w:jc w:val="left"/>
      </w:pPr>
      <w:r>
        <w:rPr>
          <w:rFonts w:ascii="Times New Roman" w:hAnsi="Times New Roman" w:eastAsia="Times New Roman"/>
          <w:b/>
          <w:i w:val="0"/>
          <w:sz w:val="28"/>
        </w:rPr>
        <w:t>Strengths and limitations</w:t>
      </w:r>
    </w:p>
    <w:p>
      <w:pPr>
        <w:spacing w:after="160" w:before="0" w:line="240" w:lineRule="auto"/>
        <w:ind w:firstLine="720"/>
        <w:jc w:val="both"/>
      </w:pPr>
      <w:r>
        <w:rPr>
          <w:rFonts w:ascii="Times New Roman" w:hAnsi="Times New Roman" w:eastAsia="Times New Roman"/>
          <w:b/>
          <w:i w:val="0"/>
          <w:sz w:val="24"/>
        </w:rPr>
        <w:t xml:space="preserve">Strengths. </w:t>
      </w:r>
      <w:r>
        <w:rPr>
          <w:rFonts w:ascii="Times New Roman" w:hAnsi="Times New Roman" w:eastAsia="Times New Roman"/>
          <w:b w:val="0"/>
          <w:i w:val="0"/>
          <w:sz w:val="24"/>
        </w:rPr>
        <w:t>All twelve Model 1 fits are reported in full, rather than filtered to the largest estimates. Uncertainty is shown as an explicit four-construction ladder rather than as a single interval. Extreme-day exposures use published official thresholds. Identification displays show the sources of cold-day variation, the first-event decline, and the dependence of each estimate on the analysis window. The daily-recovery analysis is reported as a refusal rather than as a coefficient.</w:t>
      </w:r>
    </w:p>
    <w:p>
      <w:pPr>
        <w:spacing w:after="160" w:before="0" w:line="240" w:lineRule="auto"/>
        <w:ind w:firstLine="720"/>
        <w:jc w:val="both"/>
      </w:pPr>
      <w:r>
        <w:rPr>
          <w:rFonts w:ascii="Times New Roman" w:hAnsi="Times New Roman" w:eastAsia="Times New Roman"/>
          <w:b/>
          <w:i w:val="0"/>
          <w:sz w:val="24"/>
        </w:rPr>
        <w:t xml:space="preserve">Limitations. </w:t>
      </w:r>
      <w:r>
        <w:rPr>
          <w:rFonts w:ascii="Times New Roman" w:hAnsi="Times New Roman" w:eastAsia="Times New Roman"/>
          <w:b w:val="0"/>
          <w:i w:val="0"/>
          <w:sz w:val="24"/>
        </w:rPr>
        <w:t>Admission cause was not recorded, so an event is a first hospitalisation after a first diagnosis and not a cardiac-caused admission. Monthly counts of people still at risk of a first event were unavailable, so the estimates are count ratios rather than incidence-rate ratios [14].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so the HF cold-day estimate rests on differences between winters. The CHD hot-night estimate is not stable across analysis windows, and is compatible with 1 before 2020. Official hot-night counts are not hourly nighttime excess heat [17]. All exposures were measured at a single Observatory station and applied territory-wide. Influenza is missing for January–October 2013. Confounding by pollution, humidity, rainfall, and influenza is unresolved in Model 1. A corresponding stroke series was not available for this analysis. Physiological mechanisms and heat-health action-plan mappings are not identified from the 132 months.</w:t>
      </w:r>
    </w:p>
    <w:p>
      <w:pPr>
        <w:spacing w:after="120" w:before="240" w:line="240" w:lineRule="auto"/>
        <w:ind w:firstLine="0"/>
        <w:jc w:val="left"/>
      </w:pPr>
      <w:r>
        <w:rPr>
          <w:rFonts w:ascii="Times New Roman" w:hAnsi="Times New Roman" w:eastAsia="Times New Roman"/>
          <w:b/>
          <w:i w:val="0"/>
          <w:sz w:val="28"/>
        </w:rPr>
        <w:t>Declaration on the use of AI</w:t>
      </w:r>
    </w:p>
    <w:p>
      <w:pPr>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spacing w:after="120" w:before="240" w:line="240" w:lineRule="auto"/>
        <w:ind w:firstLine="0"/>
        <w:jc w:val="left"/>
      </w:pPr>
      <w:r>
        <w:rPr>
          <w:rFonts w:ascii="Times New Roman" w:hAnsi="Times New Roman" w:eastAsia="Times New Roman"/>
          <w:b/>
          <w:i w:val="0"/>
          <w:sz w:val="28"/>
        </w:rPr>
        <w:t>Declaration of competing interest</w:t>
      </w:r>
    </w:p>
    <w:p>
      <w:pPr>
        <w:spacing w:after="160" w:before="0" w:line="240" w:lineRule="auto"/>
        <w:ind w:firstLine="720"/>
        <w:jc w:val="both"/>
      </w:pPr>
      <w:r>
        <w:rPr>
          <w:rFonts w:ascii="Times New Roman" w:hAnsi="Times New Roman" w:eastAsia="Times New Roman"/>
          <w:b w:val="0"/>
          <w:i w:val="0"/>
          <w:sz w:val="24"/>
        </w:rPr>
        <w:t>The authors declare no competing interests.</w:t>
      </w:r>
    </w:p>
    <w:p>
      <w:pPr>
        <w:spacing w:after="120" w:before="240" w:line="240" w:lineRule="auto"/>
        <w:ind w:firstLine="0"/>
        <w:jc w:val="left"/>
      </w:pPr>
      <w:r>
        <w:rPr>
          <w:rFonts w:ascii="Times New Roman" w:hAnsi="Times New Roman" w:eastAsia="Times New Roman"/>
          <w:b/>
          <w:i w:val="0"/>
          <w:sz w:val="28"/>
        </w:rPr>
        <w:t>Acknowledgements</w:t>
      </w:r>
    </w:p>
    <w:p>
      <w:pPr>
        <w:spacing w:after="160" w:before="0" w:line="240" w:lineRule="auto"/>
        <w:ind w:firstLine="720"/>
        <w:jc w:val="both"/>
      </w:pPr>
      <w:r>
        <w:rPr>
          <w:rFonts w:ascii="Times New Roman" w:hAnsi="Times New Roman" w:eastAsia="Times New Roman"/>
          <w:b w:val="0"/>
          <w:i w:val="0"/>
          <w:sz w:val="24"/>
        </w:rPr>
        <w:t>None.</w:t>
      </w:r>
    </w:p>
    <w:p>
      <w:pPr>
        <w:spacing w:after="120" w:before="240" w:line="240" w:lineRule="auto"/>
        <w:ind w:firstLine="0"/>
        <w:jc w:val="left"/>
      </w:pPr>
      <w:r>
        <w:rPr>
          <w:rFonts w:ascii="Times New Roman" w:hAnsi="Times New Roman" w:eastAsia="Times New Roman"/>
          <w:b/>
          <w:i w:val="0"/>
          <w:sz w:val="28"/>
        </w:rPr>
        <w:t>Data and code availability</w:t>
      </w:r>
    </w:p>
    <w:p>
      <w:pPr>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w:t>
      </w:r>
    </w:p>
    <w:p>
      <w:pPr>
        <w:pageBreakBefore/>
        <w:spacing w:after="120" w:before="0" w:line="240" w:lineRule="auto"/>
        <w:ind w:firstLine="0"/>
        <w:jc w:val="left"/>
      </w:pPr>
      <w:r>
        <w:rPr>
          <w:rFonts w:ascii="Times New Roman" w:hAnsi="Times New Roman" w:eastAsia="Times New Roman"/>
          <w:b/>
          <w:i w:val="0"/>
          <w:sz w:val="28"/>
        </w:rPr>
        <w:t>References</w:t>
      </w:r>
    </w:p>
    <w:p>
      <w:pPr>
        <w:spacing w:after="80" w:before="0" w:line="240" w:lineRule="auto"/>
        <w:ind w:left="425" w:hanging="425"/>
        <w:jc w:val="left"/>
      </w:pPr>
      <w:r>
        <w:rPr>
          <w:rFonts w:ascii="Times New Roman" w:hAnsi="Times New Roman" w:eastAsia="Times New Roman"/>
          <w:b w:val="0"/>
          <w:i w:val="0"/>
          <w:sz w:val="22"/>
        </w:rPr>
        <w:t>1. Goggins WB, Chan EYY, Yang CY. Weather, pollution, and acute myocardial infarction in Hong Kong and Taiwan. Int J Cardiol. 2013;168(1):243-249. doi:10.1016/j.ijcard.2012.09.087</w:t>
      </w:r>
    </w:p>
    <w:p>
      <w:pPr>
        <w:spacing w:after="80" w:before="0" w:line="240" w:lineRule="auto"/>
        <w:ind w:left="425" w:hanging="425"/>
        <w:jc w:val="left"/>
      </w:pPr>
      <w:r>
        <w:rPr>
          <w:rFonts w:ascii="Times New Roman" w:hAnsi="Times New Roman" w:eastAsia="Times New Roman"/>
          <w:b w:val="0"/>
          <w:i w:val="0"/>
          <w:sz w:val="22"/>
        </w:rPr>
        <w:t>2. Hong Kong Observatory. The Year's Weather — 2013. https://www.hko.gov.hk/en/wxinfo/pastwx/ywx2013.htm</w:t>
      </w:r>
    </w:p>
    <w:p>
      <w:pPr>
        <w:spacing w:after="80" w:before="0" w:line="240" w:lineRule="auto"/>
        <w:ind w:left="425" w:hanging="425"/>
        <w:jc w:val="left"/>
      </w:pPr>
      <w:r>
        <w:rPr>
          <w:rFonts w:ascii="Times New Roman" w:hAnsi="Times New Roman" w:eastAsia="Times New Roman"/>
          <w:b w:val="0"/>
          <w:i w:val="0"/>
          <w:sz w:val="22"/>
        </w:rPr>
        <w:t>3. Hong Kong Observatory. The Year's Weather — 2017. https://www.hko.gov.hk/en/wxinfo/pastwx/2017/ywx2017.htm</w:t>
      </w:r>
    </w:p>
    <w:p>
      <w:pPr>
        <w:spacing w:after="80" w:before="0" w:line="240" w:lineRule="auto"/>
        <w:ind w:left="425" w:hanging="425"/>
        <w:jc w:val="left"/>
      </w:pPr>
      <w:r>
        <w:rPr>
          <w:rFonts w:ascii="Times New Roman" w:hAnsi="Times New Roman" w:eastAsia="Times New Roman"/>
          <w:b w:val="0"/>
          <w:i w:val="0"/>
          <w:sz w:val="22"/>
        </w:rPr>
        <w:t>4. Hong Kong Observatory. The Year's Weather — 2021. https://www.hko.gov.hk/en/wxinfo/pastwx/2021/ywx2021.htm</w:t>
      </w:r>
    </w:p>
    <w:p>
      <w:pPr>
        <w:spacing w:after="80" w:before="0" w:line="240" w:lineRule="auto"/>
        <w:ind w:left="425" w:hanging="425"/>
        <w:jc w:val="left"/>
      </w:pPr>
      <w:r>
        <w:rPr>
          <w:rFonts w:ascii="Times New Roman" w:hAnsi="Times New Roman" w:eastAsia="Times New Roman"/>
          <w:b w:val="0"/>
          <w:i w:val="0"/>
          <w:sz w:val="22"/>
        </w:rPr>
        <w:t>5. Hong Kong Observatory. The Year's Weather — 2024. https://www.hko.gov.hk/en/wxinfo/pastwx/2024/ywx2024.htm</w:t>
      </w:r>
    </w:p>
    <w:p>
      <w:pPr>
        <w:spacing w:after="80" w:before="0" w:line="240" w:lineRule="auto"/>
        <w:ind w:left="425" w:hanging="425"/>
        <w:jc w:val="left"/>
      </w:pPr>
      <w:r>
        <w:rPr>
          <w:rFonts w:ascii="Times New Roman" w:hAnsi="Times New Roman" w:eastAsia="Times New Roman"/>
          <w:b w:val="0"/>
          <w:i w:val="0"/>
          <w:sz w:val="22"/>
        </w:rPr>
        <w:t>6. Hong Kong Observatory. Hong Kong Observatory Open Data. https://www.hko.gov.hk/en/abouthko/opendata_intro.htm</w:t>
      </w:r>
    </w:p>
    <w:p>
      <w:pPr>
        <w:spacing w:after="80" w:before="0" w:line="240" w:lineRule="auto"/>
        <w:ind w:left="425" w:hanging="425"/>
        <w:jc w:val="left"/>
      </w:pPr>
      <w:r>
        <w:rPr>
          <w:rFonts w:ascii="Times New Roman" w:hAnsi="Times New Roman" w:eastAsia="Times New Roman"/>
          <w:b w:val="0"/>
          <w:i w:val="0"/>
          <w:sz w:val="22"/>
        </w:rPr>
        <w:t>7. Environmental Protection Department. Environmental Protection Interactive Centre: Air Quality Data. https://cd.epic.epd.gov.hk/EPICDI/air/station/?lang=en</w:t>
      </w:r>
    </w:p>
    <w:p>
      <w:pPr>
        <w:spacing w:after="80" w:before="0" w:line="240" w:lineRule="auto"/>
        <w:ind w:left="425" w:hanging="425"/>
        <w:jc w:val="left"/>
      </w:pPr>
      <w:r>
        <w:rPr>
          <w:rFonts w:ascii="Times New Roman" w:hAnsi="Times New Roman" w:eastAsia="Times New Roman"/>
          <w:b w:val="0"/>
          <w:i w:val="0"/>
          <w:sz w:val="22"/>
        </w:rPr>
        <w:t>8. Census and Statistics Department. Population by Sex and Age Group (Table 110-01001). https://data.gov.hk/en-data/dataset/hk-censtatd-tablechart-110-01001</w:t>
      </w:r>
    </w:p>
    <w:p>
      <w:pPr>
        <w:spacing w:after="80" w:before="0" w:line="240" w:lineRule="auto"/>
        <w:ind w:left="425" w:hanging="425"/>
        <w:jc w:val="left"/>
      </w:pPr>
      <w:r>
        <w:rPr>
          <w:rFonts w:ascii="Times New Roman" w:hAnsi="Times New Roman" w:eastAsia="Times New Roman"/>
          <w:b w:val="0"/>
          <w:i w:val="0"/>
          <w:sz w:val="22"/>
        </w:rPr>
        <w:t>9. Ye X, Wolff R, Yu W, Vaneckova P, Pan X, Tong S. Ambient temperature and morbidity: a review of epidemiological evidence. Environ Health Perspect. 2012;120(1):19-28. doi:10.1289/ehp.1003198</w:t>
      </w:r>
    </w:p>
    <w:p>
      <w:pPr>
        <w:spacing w:after="80" w:before="0" w:line="240" w:lineRule="auto"/>
        <w:ind w:left="425" w:hanging="425"/>
        <w:jc w:val="left"/>
      </w:pPr>
      <w:r>
        <w:rPr>
          <w:rFonts w:ascii="Times New Roman" w:hAnsi="Times New Roman" w:eastAsia="Times New Roman"/>
          <w:b w:val="0"/>
          <w:i w:val="0"/>
          <w:sz w:val="22"/>
        </w:rPr>
        <w:t>10. Bhaskaran K, Gasparrini A, Hajat S, Smeeth L, Armstrong B. Time series regression studies in environmental epidemiology. Int J Epidemiol. 2013;42(4):1187-1195. doi:10.1093/ije/dyt092</w:t>
      </w:r>
    </w:p>
    <w:p>
      <w:pPr>
        <w:spacing w:after="80" w:before="0" w:line="240" w:lineRule="auto"/>
        <w:ind w:left="425" w:hanging="425"/>
        <w:jc w:val="left"/>
      </w:pPr>
      <w:r>
        <w:rPr>
          <w:rFonts w:ascii="Times New Roman" w:hAnsi="Times New Roman" w:eastAsia="Times New Roman"/>
          <w:b w:val="0"/>
          <w:i w:val="0"/>
          <w:sz w:val="22"/>
        </w:rPr>
        <w:t>11. Goggins WB, Woo J, Ho S, Chan EYY, Chau PH. Weather, season, and daily stroke admissions in Hong Kong. Int J Biometeorol. 2012;56(5):865-872. doi:10.1007/s00484-011-0491-9</w:t>
      </w:r>
    </w:p>
    <w:p>
      <w:pPr>
        <w:spacing w:after="80" w:before="0" w:line="240" w:lineRule="auto"/>
        <w:ind w:left="425" w:hanging="425"/>
        <w:jc w:val="left"/>
      </w:pPr>
      <w:r>
        <w:rPr>
          <w:rFonts w:ascii="Times New Roman" w:hAnsi="Times New Roman" w:eastAsia="Times New Roman"/>
          <w:b w:val="0"/>
          <w:i w:val="0"/>
          <w:sz w:val="22"/>
        </w:rPr>
        <w:t>12. Liu J, Hansen A, Varghese B, et al. Cause-specific mortality attributable to cold and hot ambient temperatures in Hong Kong: a time-series study, 2006–2016. Sustain Cities Soc. 2020;57:102131. doi:10.1016/j.scs.2020.102131</w:t>
      </w:r>
    </w:p>
    <w:p>
      <w:pPr>
        <w:spacing w:after="80" w:before="0" w:line="240" w:lineRule="auto"/>
        <w:ind w:left="425" w:hanging="425"/>
        <w:jc w:val="left"/>
      </w:pPr>
      <w:r>
        <w:rPr>
          <w:rFonts w:ascii="Times New Roman" w:hAnsi="Times New Roman" w:eastAsia="Times New Roman"/>
          <w:b w:val="0"/>
          <w:i w:val="0"/>
          <w:sz w:val="22"/>
        </w:rPr>
        <w:t>13. Liu Z, Ren C, Liu J, Kawasaki Y, Bishai DM. Modelling the excess mortality associated with heat waves in Hong Kong: 2014–2023. medRxiv. 2026. doi:10.64898/2026.03.05.26347683</w:t>
      </w:r>
    </w:p>
    <w:p>
      <w:pPr>
        <w:spacing w:after="80" w:before="0" w:line="240" w:lineRule="auto"/>
        <w:ind w:left="425" w:hanging="425"/>
        <w:jc w:val="left"/>
      </w:pPr>
      <w:r>
        <w:rPr>
          <w:rFonts w:ascii="Times New Roman" w:hAnsi="Times New Roman" w:eastAsia="Times New Roman"/>
          <w:b w:val="0"/>
          <w:i w:val="0"/>
          <w:sz w:val="22"/>
        </w:rPr>
        <w:t>14. Greenland S, Morgenstern H. Ecological bias, confounding, and effect modification. Int J Epidemiol. 1989;18(1):269-274. doi:10.1093/ije/18.1.269</w:t>
      </w:r>
    </w:p>
    <w:p>
      <w:pPr>
        <w:spacing w:after="80" w:before="0" w:line="240" w:lineRule="auto"/>
        <w:ind w:left="425" w:hanging="425"/>
        <w:jc w:val="left"/>
      </w:pPr>
      <w:r>
        <w:rPr>
          <w:rFonts w:ascii="Times New Roman" w:hAnsi="Times New Roman" w:eastAsia="Times New Roman"/>
          <w:b w:val="0"/>
          <w:i w:val="0"/>
          <w:sz w:val="22"/>
        </w:rPr>
        <w:t>15. Basagaña X, Ballester J. Unbiased temperature-related mortality estimates using weekly and monthly health data: a new method for environmental epidemiology and climate impact studies. Lancet Planet Health. 2024;8(10):e766-e777. doi:10.1016/S2542-5196(24)00212-2</w:t>
      </w:r>
    </w:p>
    <w:p>
      <w:pPr>
        <w:spacing w:after="80" w:before="0" w:line="240" w:lineRule="auto"/>
        <w:ind w:left="425" w:hanging="425"/>
        <w:jc w:val="left"/>
      </w:pPr>
      <w:r>
        <w:rPr>
          <w:rFonts w:ascii="Times New Roman" w:hAnsi="Times New Roman" w:eastAsia="Times New Roman"/>
          <w:b w:val="0"/>
          <w:i w:val="0"/>
          <w:sz w:val="22"/>
        </w:rPr>
        <w:t>16. Basagaña X, Ballester J. Unbiased estimates using temporally aggregated outcome data in time series analysis: generalization to different outcomes, exposures, and types of aggregation. Epidemiology. 2026;37(1):16-20. doi:10.1097/EDE.0000000000001923</w:t>
      </w:r>
    </w:p>
    <w:p>
      <w:pPr>
        <w:spacing w:after="80" w:before="0" w:line="240" w:lineRule="auto"/>
        <w:ind w:left="425" w:hanging="425"/>
        <w:jc w:val="left"/>
      </w:pPr>
      <w:r>
        <w:rPr>
          <w:rFonts w:ascii="Times New Roman" w:hAnsi="Times New Roman" w:eastAsia="Times New Roman"/>
          <w:b w:val="0"/>
          <w:i w:val="0"/>
          <w:sz w:val="22"/>
        </w:rPr>
        <w:t>17. Guo YT, Chan KH, Qiu H, Wong ELY, Ho KF. The risk of hospitalization associated with hot nights and excess nighttime heat in a subtropical metropolis: a time-series study in Hong Kong, 2000–2019. Lancet Reg Health West Pac. 2024;51:101168. doi:10.1016/j.lanwpc.2024.101168</w:t>
      </w:r>
    </w:p>
    <w:p>
      <w:pPr>
        <w:spacing w:after="80" w:before="0" w:line="240" w:lineRule="auto"/>
        <w:ind w:left="425" w:hanging="425"/>
        <w:jc w:val="left"/>
      </w:pPr>
      <w:r>
        <w:rPr>
          <w:rFonts w:ascii="Times New Roman" w:hAnsi="Times New Roman" w:eastAsia="Times New Roman"/>
          <w:b w:val="0"/>
          <w:i w:val="0"/>
          <w:sz w:val="22"/>
        </w:rPr>
        <w:t>18. Yang Z, Wei Y, Jiang X, et al. Association of cold weather and influenza infection with stroke: a 22-year time-series analysis. Int J Biometeorol. 2025;69(5):963-973. doi:10.1007/s00484-025-02870-2</w:t>
      </w:r>
    </w:p>
    <w:p>
      <w:pPr>
        <w:spacing w:after="80" w:before="0" w:line="240" w:lineRule="auto"/>
        <w:ind w:left="425" w:hanging="425"/>
        <w:jc w:val="left"/>
      </w:pPr>
      <w:r>
        <w:rPr>
          <w:rFonts w:ascii="Times New Roman" w:hAnsi="Times New Roman" w:eastAsia="Times New Roman"/>
          <w:b w:val="0"/>
          <w:i w:val="0"/>
          <w:sz w:val="22"/>
        </w:rPr>
        <w:t>19. Newey WK, West KD. A simple, positive semi-definite, heteroskedasticity and autocorrelation consistent covariance matrix. Econometrica. 1987;55(3):703-708. doi:10.2307/1913610</w:t>
      </w:r>
    </w:p>
    <w:p>
      <w:pPr>
        <w:spacing w:after="80" w:before="0" w:line="240" w:lineRule="auto"/>
        <w:ind w:left="425" w:hanging="425"/>
        <w:jc w:val="left"/>
      </w:pPr>
      <w:r>
        <w:rPr>
          <w:rFonts w:ascii="Times New Roman" w:hAnsi="Times New Roman" w:eastAsia="Times New Roman"/>
          <w:b w:val="0"/>
          <w:i w:val="0"/>
          <w:sz w:val="22"/>
        </w:rPr>
        <w:t>20. Benjamini Y, Hochberg Y. Controlling the false discovery rate: a practical and powerful approach to multiple testing. J R Stat Soc Series B. 1995;57(1):289-300. doi:10.1111/j.2517-6161.1995.tb02031.x</w:t>
      </w:r>
    </w:p>
    <w:p>
      <w:pPr>
        <w:spacing w:after="80" w:before="0" w:line="240" w:lineRule="auto"/>
        <w:ind w:left="425" w:hanging="425"/>
        <w:jc w:val="left"/>
      </w:pPr>
      <w:r>
        <w:rPr>
          <w:rFonts w:ascii="Times New Roman" w:hAnsi="Times New Roman" w:eastAsia="Times New Roman"/>
          <w:b w:val="0"/>
          <w:i w:val="0"/>
          <w:sz w:val="22"/>
        </w:rPr>
        <w:t>21. Goggins WB, Chan EYY. A study of the short-term associations between hospital admissions and mortality from heart failure and meteorological variables in Hong Kong. Int J Cardiol. 2017;228:537-542. doi:10.1016/j.ijcard.2016.11.106</w:t>
      </w:r>
    </w:p>
    <w:p>
      <w:pPr>
        <w:spacing w:after="80" w:before="0" w:line="240" w:lineRule="auto"/>
        <w:ind w:left="425" w:hanging="425"/>
        <w:jc w:val="left"/>
      </w:pPr>
      <w:r>
        <w:rPr>
          <w:rFonts w:ascii="Times New Roman" w:hAnsi="Times New Roman" w:eastAsia="Times New Roman"/>
          <w:b w:val="0"/>
          <w:i w:val="0"/>
          <w:sz w:val="22"/>
        </w:rPr>
        <w:t>22. Chan EYY, Goggins WB, Yue JSK, Lee P. Hospital admissions as a function of temperature, other weather phenomena and pollution levels in an urban setting in China. Bull World Health Organ. 2013;91(8):576-584. doi:10.2471/BLT.12.113035</w:t>
      </w:r>
    </w:p>
    <w:p>
      <w:pPr>
        <w:spacing w:after="80" w:before="0" w:line="240" w:lineRule="auto"/>
        <w:ind w:left="425" w:hanging="425"/>
        <w:jc w:val="left"/>
      </w:pPr>
      <w:r>
        <w:rPr>
          <w:rFonts w:ascii="Times New Roman" w:hAnsi="Times New Roman" w:eastAsia="Times New Roman"/>
          <w:b w:val="0"/>
          <w:i w:val="0"/>
          <w:sz w:val="22"/>
        </w:rPr>
        <w:t>23. Chevance G, Minor K, Vielma C, et al. A systematic review of ambient heat and sleep in a warming climate. Sleep Med Rev. 2024;75:101915. doi:10.1016/j.smrv.2024.101915</w:t>
      </w:r>
    </w:p>
    <w:p>
      <w:pPr>
        <w:spacing w:after="80" w:before="0" w:line="240" w:lineRule="auto"/>
        <w:ind w:left="425" w:hanging="425"/>
        <w:jc w:val="left"/>
      </w:pPr>
      <w:r>
        <w:rPr>
          <w:rFonts w:ascii="Times New Roman" w:hAnsi="Times New Roman" w:eastAsia="Times New Roman"/>
          <w:b w:val="0"/>
          <w:i w:val="0"/>
          <w:sz w:val="22"/>
        </w:rPr>
        <w:t>24. Ioannou LG, Tsoutsoubi L, Mantzios K, et al. Impact of a simulated multiday heatwave on nocturnal physiology, behavior, and sleep: a 10-day confinement study. Appl Physiol Nutr Metab. 2024;49:1394-1408. doi:10.1139/apnm-2024-0105</w:t>
      </w:r>
    </w:p>
    <w:p>
      <w:pPr>
        <w:spacing w:after="80" w:before="0" w:line="240" w:lineRule="auto"/>
        <w:ind w:left="425" w:hanging="425"/>
        <w:jc w:val="left"/>
      </w:pPr>
      <w:r>
        <w:rPr>
          <w:rFonts w:ascii="Times New Roman" w:hAnsi="Times New Roman" w:eastAsia="Times New Roman"/>
          <w:b w:val="0"/>
          <w:i w:val="0"/>
          <w:sz w:val="22"/>
        </w:rPr>
        <w:t>25. O'Connor FK, Bach AJE, Forbes C, et al. Effect of nighttime bedroom temperature on heart rate variability in older adults: an observational study. BMC Med. 2025;23:703. doi:10.1186/s12916-025-04513-0</w:t>
      </w:r>
    </w:p>
    <w:p>
      <w:pPr>
        <w:spacing w:after="80" w:before="0" w:line="240" w:lineRule="auto"/>
        <w:ind w:left="425" w:hanging="425"/>
        <w:jc w:val="left"/>
      </w:pPr>
      <w:r>
        <w:rPr>
          <w:rFonts w:ascii="Times New Roman" w:hAnsi="Times New Roman" w:eastAsia="Times New Roman"/>
          <w:b w:val="0"/>
          <w:i w:val="0"/>
          <w:sz w:val="22"/>
        </w:rPr>
        <w:t>26. Ashe N, Wozniak S, Conner M, et al. Association of extreme heat events with sleep and cardiovascular health: a scoping review. Syst Rev. 2025;14:19. doi:10.1186/s13643-024-02742-7</w:t>
      </w:r>
    </w:p>
    <w:p>
      <w:pPr>
        <w:spacing w:after="80" w:before="0" w:line="240" w:lineRule="auto"/>
        <w:ind w:left="425" w:hanging="425"/>
        <w:jc w:val="left"/>
      </w:pPr>
      <w:r>
        <w:rPr>
          <w:rFonts w:ascii="Times New Roman" w:hAnsi="Times New Roman" w:eastAsia="Times New Roman"/>
          <w:b w:val="0"/>
          <w:i w:val="0"/>
          <w:sz w:val="22"/>
        </w:rPr>
        <w:t>27. Ikaheimo TM. Cardiovascular diseases, cold exposure and exercise. Temperature (Austin). 2018;5(2):123-146. doi:10.1080/23328940.2017.1414014</w:t>
      </w:r>
    </w:p>
    <w:p>
      <w:pPr>
        <w:spacing w:after="80" w:before="0" w:line="240" w:lineRule="auto"/>
        <w:ind w:left="425" w:hanging="425"/>
        <w:jc w:val="left"/>
      </w:pPr>
      <w:r>
        <w:rPr>
          <w:rFonts w:ascii="Times New Roman" w:hAnsi="Times New Roman" w:eastAsia="Times New Roman"/>
          <w:b w:val="0"/>
          <w:i w:val="0"/>
          <w:sz w:val="22"/>
        </w:rPr>
        <w:t>28. Li Y, Wu J, Xu Y, et al. Cold exposure and the cardiovascular system: from physiological adaptation to pathological risk. Front Physiol. 2026;16:1740919. doi:10.3389/fphys.2025.1740919</w:t>
      </w:r>
    </w:p>
    <w:p>
      <w:pPr>
        <w:spacing w:after="80" w:before="0" w:line="240" w:lineRule="auto"/>
        <w:ind w:left="425" w:hanging="425"/>
        <w:jc w:val="left"/>
      </w:pPr>
      <w:r>
        <w:rPr>
          <w:rFonts w:ascii="Times New Roman" w:hAnsi="Times New Roman" w:eastAsia="Times New Roman"/>
          <w:b w:val="0"/>
          <w:i w:val="0"/>
          <w:sz w:val="22"/>
        </w:rPr>
        <w:t>29. WHO Regional Office for Europe. Heat-health action plans: guidance. 2nd ed. Copenhagen: WHO Regional Office for Europe; 2026. ISBN 9789289062930. https://www.who.int/europe/publications/i/item/9789289062930</w:t>
      </w:r>
    </w:p>
    <w:p>
      <w:pPr>
        <w:spacing w:after="80" w:before="0" w:line="240" w:lineRule="auto"/>
        <w:ind w:left="425" w:hanging="425"/>
        <w:jc w:val="left"/>
      </w:pPr>
      <w:r>
        <w:rPr>
          <w:rFonts w:ascii="Times New Roman" w:hAnsi="Times New Roman" w:eastAsia="Times New Roman"/>
          <w:b w:val="0"/>
          <w:i w:val="0"/>
          <w:sz w:val="22"/>
        </w:rPr>
        <w:t>30. Chong SN, Law HF. Beware of Health Effects of Extremely Hot Weather. Hong Kong Observatory. December 2023. https://www.hko.gov.hk/en/education/weather/hot-and-cold-weather/00706-Beware-of-Health-Effects-of-Extremely-Hot-Weather.html</w:t>
      </w:r>
    </w:p>
    <w:p>
      <w:pPr>
        <w:spacing w:after="80" w:before="0" w:line="240" w:lineRule="auto"/>
        <w:ind w:left="425" w:hanging="425"/>
        <w:jc w:val="left"/>
      </w:pPr>
      <w:r>
        <w:rPr>
          <w:rFonts w:ascii="Times New Roman" w:hAnsi="Times New Roman" w:eastAsia="Times New Roman"/>
          <w:b w:val="0"/>
          <w:i w:val="0"/>
          <w:sz w:val="22"/>
        </w:rPr>
        <w:t>31. Hong Kong Observatory. Cold and Very Hot Weather Warnings. https://www.hko.gov.hk/en/wservice/warning/coldhot.htm</w:t>
      </w:r>
    </w:p>
    <w:p>
      <w:pPr>
        <w:spacing w:after="80" w:before="0" w:line="240" w:lineRule="auto"/>
        <w:ind w:left="425" w:hanging="425"/>
        <w:jc w:val="left"/>
      </w:pPr>
      <w:r>
        <w:rPr>
          <w:rFonts w:ascii="Times New Roman" w:hAnsi="Times New Roman" w:eastAsia="Times New Roman"/>
          <w:b w:val="0"/>
          <w:i w:val="0"/>
          <w:sz w:val="22"/>
        </w:rPr>
        <w:t>32. Centre for Health Protection. Beware of Heat Stroke. 11 August 2025. https://www.chp.gov.hk/en/static/90064.html</w:t>
      </w:r>
    </w:p>
    <w:p>
      <w:pPr>
        <w:spacing w:after="80" w:before="0" w:line="240" w:lineRule="auto"/>
        <w:ind w:left="425" w:hanging="425"/>
        <w:jc w:val="left"/>
      </w:pPr>
      <w:r>
        <w:rPr>
          <w:rFonts w:ascii="Times New Roman" w:hAnsi="Times New Roman" w:eastAsia="Times New Roman"/>
          <w:b w:val="0"/>
          <w:i w:val="0"/>
          <w:sz w:val="22"/>
        </w:rPr>
        <w:t>33. Home Affairs Department. Emergency Relief Services: temporary heat shelters. https://www.had.gov.hk/en/public_services/emergency_services/emergency.htm</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8-29T04:45:47Z">
    <w:p>
      <w:pPr>
        <w:pStyle w:val="CommentText"/>
      </w:pPr>
      <w:r>
        <w:rPr>
          <w:rStyle w:val="CommentReference"/>
        </w:rPr>
        <w:annotationRef/>
      </w:r>
      <w:r>
        <w:t>Author order after the first and last positions remains to be confirmed with Professor Bishai. Left as a comment, not as body text (H2 / email).</w:t>
      </w:r>
    </w:p>
  </w:comment>
  <w:comment w:id="1" w:author="Bob Shen" w:initials="BS" w:date="2026-08-29T04:45:47Z">
    <w:p>
      <w:pPr>
        <w:pStyle w:val="CommentText"/>
      </w:pPr>
      <w:r>
        <w:rPr>
          <w:rStyle w:val="CommentReference"/>
        </w:rPr>
        <w:annotationRef/>
      </w:r>
      <w:r>
        <w:t>Abstract Results numbers are Model 1 (thermal variables only). Model 2 (rainfall and humidity) and Model 3 (climatology day counts) are specified in Methods and are not fitted in this file. No new coefficients have been typed by hand. The daily-recovery calibration failure is in Results, not here.</w:t>
      </w:r>
    </w:p>
  </w:comment>
  <w:comment w:id="2" w:author="Bob Shen" w:initials="BS" w:date="2026-08-29T04:45:47Z">
    <w:p>
      <w:pPr>
        <w:pStyle w:val="CommentText"/>
      </w:pPr>
      <w:r>
        <w:rPr>
          <w:rStyle w:val="CommentReference"/>
        </w:rPr>
        <w:annotationRef/>
      </w:r>
      <w:r>
        <w:t>@Roro (KW11): please replace UW XX-XXX with the HKU/HA HK West Cluster IRB reference number. Hogan typed this placeholder. I have not invented a number.</w:t>
      </w:r>
    </w:p>
  </w:comment>
  <w:comment w:id="3" w:author="Bob Shen" w:initials="BS" w:date="2026-08-29T04:45:47Z">
    <w:p>
      <w:pPr>
        <w:pStyle w:val="CommentText"/>
      </w:pPr>
      <w:r>
        <w:rPr>
          <w:rStyle w:val="CommentReference"/>
        </w:rPr>
        <w:annotationRef/>
      </w:r>
      <w:r>
        <w:t>@Roro: replace ICD lists and timing if they differ. Inpatient-only meaning is yours to confirm — not a body sentence.</w:t>
      </w:r>
    </w:p>
  </w:comment>
  <w:comment w:id="4" w:author="Bob Shen" w:initials="BS" w:date="2026-08-29T04:45:47Z">
    <w:p>
      <w:pPr>
        <w:pStyle w:val="CommentText"/>
      </w:pPr>
      <w:r>
        <w:rPr>
          <w:rStyle w:val="CommentReference"/>
        </w:rPr>
        <w:annotationRef/>
      </w:r>
      <w:r>
        <w:t>Your averaging sentence is left verbatim. In our pipeline, rainfall is a monthly total (mm), official extreme days are counts, and humidity is a monthly mean. We have not overwritten the sentence.</w:t>
      </w:r>
    </w:p>
  </w:comment>
  <w:comment w:id="5" w:author="Bob Shen" w:initials="BS" w:date="2026-08-29T04:45:47Z">
    <w:p>
      <w:pPr>
        <w:pStyle w:val="CommentText"/>
      </w:pPr>
      <w:r>
        <w:rPr>
          <w:rStyle w:val="CommentReference"/>
        </w:rPr>
        <w:annotationRef/>
      </w:r>
      <w:r>
        <w:t>Model 2 is specified here and has not been fitted on the governed panel. Table 2 remains Model 1. Do not type Model 2 coefficients by hand.</w:t>
      </w:r>
    </w:p>
  </w:comment>
  <w:comment w:id="6" w:author="Bob Shen" w:initials="BS" w:date="2026-08-29T04:45:47Z">
    <w:p>
      <w:pPr>
        <w:pStyle w:val="CommentText"/>
      </w:pPr>
      <w:r>
        <w:rPr>
          <w:rStyle w:val="CommentReference"/>
        </w:rPr>
        <w:annotationRef/>
      </w:r>
      <w:r>
        <w:t>Table 2 reports Model 1 (thermal variables only; no monthly rainfall or humidity). Model 2 adds those two covariates and is specified in Methods. On a machine with the governed panel, run Rscript scripts/53_hogan_models_rh_rain.R and paste Model 2 beside or after Table 2. No new coefficients have been typed by hand. Model 3 (climatology day counts) is also specified and not fitted 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Thermal extremes and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