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00"/>
      </w:pPr>
      <w:r>
        <w:rPr>
          <w:rFonts w:ascii="Times New Roman" w:hAnsi="Times New Roman" w:eastAsia="Times New Roman"/>
          <w:b w:val="0"/>
          <w:i w:val="0"/>
          <w:sz w:val="32"/>
        </w:rPr>
        <w:t>Supplementary results for first hospitalisation counts before and during the COVID pandemic</w:t>
      </w:r>
    </w:p>
    <w:p>
      <w:pPr>
        <w:spacing w:after="16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3"/>
        </w:rPr>
        <w:t>The tables distinguish disjoint descriptive periods from overlapping model fits. Confidence intervals describe exploratory associations; no later-era effect is inferred by subtracting nested coefficients.</w:t>
      </w:r>
    </w:p>
    <w:p>
      <w:pPr>
        <w:pStyle w:val="Heading1"/>
        <w:keepNext/>
        <w:keepLines/>
        <w:spacing w:after="120" w:before="24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7"/>
        </w:rPr>
        <w:t>Descriptive periods</w:t>
      </w:r>
    </w:p>
    <w:p>
      <w:pPr>
        <w:keepNext/>
        <w:keepLines/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/>
          <w:sz w:val="21"/>
        </w:rPr>
        <w:t>Supplementary Table S1. Monthly mean recorded counts in non overlapping calendar periods. Arithmetic means from aggregate period summaries.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5000" w:type="pct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64"/>
        <w:gridCol w:w="2040"/>
        <w:gridCol w:w="2040"/>
        <w:gridCol w:w="2040"/>
      </w:tblGrid>
      <w:tr>
        <w:trPr>
          <w:cantSplit/>
          <w:tblHeader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Period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Months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CHD monthly mean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HF monthly mean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2013–2019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84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1315.3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252.0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2020–2022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36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926.3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172.6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2023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1026.9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191.3</w:t>
            </w:r>
          </w:p>
        </w:tc>
      </w:tr>
    </w:tbl>
    <w:p>
      <w:pPr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4"/>
        </w:rPr>
      </w:r>
    </w:p>
    <w:p>
      <w:pPr>
        <w:pStyle w:val="Heading1"/>
        <w:keepNext/>
        <w:keepLines/>
        <w:spacing w:after="120" w:before="24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7"/>
        </w:rPr>
        <w:t>Complete baseline panel</w:t>
      </w:r>
    </w:p>
    <w:p>
      <w:pPr>
        <w:keepNext/>
        <w:keepLines/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/>
          <w:sz w:val="21"/>
        </w:rPr>
        <w:t>Supplementary Table S2. All twelve full window baseline weather models. Days-in-month offset, calendar-month indicators, four-degree-of-freedom natural time spline; Newey–West lag-six intervals. BH q-values cover these twelve Wald tests only.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5000" w:type="pct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07"/>
        <w:gridCol w:w="2304"/>
        <w:gridCol w:w="2951"/>
        <w:gridCol w:w="1224"/>
        <w:gridCol w:w="1296"/>
      </w:tblGrid>
      <w:tr>
        <w:trPr>
          <w:cantSplit/>
          <w:tblHeader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Outcome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Exposure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Count ratio and 95% CI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p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BH q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CHD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temperature / 1°C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0.993 (0.976–1.010)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0.424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0.726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CHD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maximum / 1°C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0.993 (0.979–1.007)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0.321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0.642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CHD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minimum / 1°C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0.994 (0.977–1.012)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0.509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0.764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CHD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Hot nights / 5 days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1.022 (1.002–1.042)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0.032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0.192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CHD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Very hot days / 5 days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0.999 (0.974–1.025)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0.962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0.962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CHD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Cold days / 5 days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0.995 (0.949–1.043)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0.823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0.900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HF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temperature / 1°C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0.974 (0.947–1.002)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0.069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0.207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HF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maximum / 1°C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0.981 (0.958–1.005)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0.113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0.272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HF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minimum / 1°C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0.973 (0.947–1.000)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0.050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0.202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HF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Hot nights / 5 days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1.003 (0.976–1.031)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0.825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0.900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HF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Very hot days / 5 days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0.995 (0.963–1.028)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0.764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0.900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HF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Cold days / 5 days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1.073 (1.006–1.144)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0.031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0.192</w:t>
            </w:r>
          </w:p>
        </w:tc>
      </w:tr>
    </w:tbl>
    <w:p>
      <w:pPr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4"/>
        </w:rPr>
      </w:r>
    </w:p>
    <w:p>
      <w:pPr>
        <w:spacing w:after="16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3"/>
        </w:rPr>
        <w:t>The HF mean-minimum-temperature lag-six interval includes one on the unrounded scale; its upper bound is 1.0000496637 (Wald p = 0.0504). Rounding to 1.000 in Table S2 or 1.0000 in Table S4 does not change that interpretation.</w:t>
      </w:r>
    </w:p>
    <w:p>
      <w:pPr>
        <w:spacing w:after="16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3"/>
        </w:rPr>
        <w:t>The nested pre-2020 continuous-temperature fits were CHD mean temperature 0.980 (0.970–0.990), mean maximum 0.982 (0.974–0.991), and mean minimum 0.982 (0.972–0.992); HF corresponding fits were 0.945 (0.927–0.963), 0.958 (0.939–0.977), 0.944 (0.927–0.961). These estimates are not multiplicity-adjusted or a later-era contrast.</w:t>
      </w:r>
    </w:p>
    <w:p>
      <w:pPr>
        <w:pStyle w:val="Heading1"/>
        <w:keepNext/>
        <w:keepLines/>
        <w:spacing w:after="120" w:before="24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7"/>
        </w:rPr>
        <w:t>Calendar specification sensitivity</w:t>
      </w:r>
    </w:p>
    <w:p>
      <w:pPr>
        <w:keepNext/>
        <w:keepLines/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/>
          <w:sz w:val="21"/>
        </w:rPr>
        <w:t>Supplementary Table S3. Complete official day panel under alternative calendar specifications. Ratios per five days with Newey–West lag-six intervals. Baseline and nested values are in main Table 2. Year indicators replace the spline. COVID-phase intercepts supplement the baseline in the full series; they are not a third window. Omission checks shorten the series. These sensitivity estimates have no multiplicity adjustment.</w:t>
      </w:r>
    </w:p>
    <w:p>
      <w:pPr>
        <w:pStyle w:val="Heading2"/>
        <w:keepNext/>
        <w:keepLines/>
        <w:spacing w:after="120" w:before="1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3"/>
        </w:rPr>
        <w:t>CHD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5000" w:type="pct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64"/>
        <w:gridCol w:w="2040"/>
        <w:gridCol w:w="2040"/>
        <w:gridCol w:w="2040"/>
      </w:tblGrid>
      <w:tr>
        <w:trPr>
          <w:cantSplit/>
          <w:tblHeader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Specification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Hot nights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Very hot days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Cold days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Time spline 3 df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1.011 (0.990–1.032)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0.993 (0.967–1.020)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0.989 (0.934–1.046)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Time spline 6 df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1.024 (1.005–1.044)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0.999 (0.975–1.023)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0.999 (0.952–1.047)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Time spline 8 df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1.023 (1.005–1.042)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0.997 (0.974–1.021)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0.997 (0.950–1.047)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Year indicators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1.025 (1.000–1.050)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1.006 (0.983–1.029)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0.994 (0.939–1.052)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Omit first 12 months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1.020 (1.000–1.040)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0.995 (0.969–1.022)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1.008 (0.954–1.065)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Omit first 24 months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1.017 (0.999–1.036)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0.993 (0.966–1.020)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0.989 (0.930–1.053)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COVID phase intercepts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1.013 (0.994–1.033)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0.993 (0.973–1.013)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0.991 (0.943–1.041)</w:t>
            </w:r>
          </w:p>
        </w:tc>
      </w:tr>
    </w:tbl>
    <w:p>
      <w:pPr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4"/>
        </w:rPr>
      </w:r>
    </w:p>
    <w:p>
      <w:pPr>
        <w:pStyle w:val="Heading2"/>
        <w:keepNext/>
        <w:keepLines/>
        <w:spacing w:after="120" w:before="1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3"/>
        </w:rPr>
        <w:t>HF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5000" w:type="pct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64"/>
        <w:gridCol w:w="2040"/>
        <w:gridCol w:w="2040"/>
        <w:gridCol w:w="2040"/>
      </w:tblGrid>
      <w:tr>
        <w:trPr>
          <w:cantSplit/>
          <w:tblHeader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Specification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Hot nights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Very hot days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Cold days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Time spline 3 df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0.993 (0.963–1.025)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0.989 (0.956–1.024)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1.066 (1.005–1.131)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Time spline 6 df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1.004 (0.977–1.032)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0.995 (0.963–1.028)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1.072 (1.005–1.143)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Time spline 8 df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1.002 (0.978–1.028)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0.993 (0.963–1.024)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1.062 (0.994–1.135)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Year indicators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1.004 (0.982–1.026)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0.997 (0.971–1.024)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1.061 (0.997–1.129)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Omit first 12 months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1.007 (0.977–1.038)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0.995 (0.963–1.029)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1.067 (0.995–1.143)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Omit first 24 months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1.003 (0.974–1.034)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0.988 (0.957–1.021)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1.043 (0.965–1.127)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COVID phase intercepts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0.994 (0.972–1.016)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0.990 (0.963–1.017)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1.074 (1.006–1.145)</w:t>
            </w:r>
          </w:p>
        </w:tc>
      </w:tr>
    </w:tbl>
    <w:p>
      <w:pPr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4"/>
        </w:rPr>
      </w:r>
    </w:p>
    <w:p>
      <w:pPr>
        <w:pStyle w:val="Heading1"/>
        <w:keepNext/>
        <w:keepLines/>
        <w:spacing w:after="120" w:before="24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7"/>
        </w:rPr>
        <w:t>Uncertainty constructions</w:t>
      </w:r>
    </w:p>
    <w:p>
      <w:pPr>
        <w:keepNext/>
        <w:keepLines/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/>
          <w:sz w:val="21"/>
        </w:rPr>
        <w:t>Supplementary Table S4. Uncertainty intervals for all twelve baseline models. All four constructions use the same fitted coefficient. Lag-six q-values appear in Table S2 and do not apply to the other interval constructions. Four decimal places are retained for the near-null CHD hot-night lag-three bounds.</w:t>
      </w:r>
    </w:p>
    <w:p>
      <w:pPr>
        <w:pStyle w:val="Heading2"/>
        <w:keepNext/>
        <w:keepLines/>
        <w:spacing w:after="120" w:before="1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3"/>
        </w:rPr>
        <w:t>CHD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5000" w:type="pct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36"/>
        <w:gridCol w:w="1512"/>
        <w:gridCol w:w="1512"/>
        <w:gridCol w:w="1512"/>
        <w:gridCol w:w="1512"/>
      </w:tblGrid>
      <w:tr>
        <w:trPr>
          <w:cantSplit/>
          <w:tblHeader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Exposure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Model CI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HC1 CI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NW3 CI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NW6 CI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temperature / 1°C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0.9772–1.0092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0.9745–1.0120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0.9759–1.0105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0.9762–1.0102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maximum / 1°C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0.9788–1.0073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0.9764–1.0098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0.9784–1.0077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0.9791–1.0069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minimum / 1°C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0.9788–1.0098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0.9763–1.0124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0.9768–1.0119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0.9771–1.0116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Hot nights / 5 days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0.9950–1.0494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0.9973–1.0469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1.0003–1.0439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1.0019–1.0422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Very hot days / 5 days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0.9741–1.0254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0.9747–1.0247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0.9735–1.0260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0.9744–1.0251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Cold days / 5 days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0.9539–1.0371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0.9555–1.0353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0.9495–1.0419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0.9488–1.0427</w:t>
            </w:r>
          </w:p>
        </w:tc>
      </w:tr>
    </w:tbl>
    <w:p>
      <w:pPr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4"/>
        </w:rPr>
      </w:r>
    </w:p>
    <w:p>
      <w:pPr>
        <w:pStyle w:val="Heading2"/>
        <w:keepNext/>
        <w:keepLines/>
        <w:spacing w:after="120" w:before="1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3"/>
        </w:rPr>
        <w:t>HF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5000" w:type="pct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36"/>
        <w:gridCol w:w="1512"/>
        <w:gridCol w:w="1512"/>
        <w:gridCol w:w="1512"/>
        <w:gridCol w:w="1512"/>
      </w:tblGrid>
      <w:tr>
        <w:trPr>
          <w:cantSplit/>
          <w:tblHeader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Exposure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Model CI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HC1 CI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NW3 CI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NW6 CI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temperature / 1°C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0.9561–0.9929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0.9494–0.9999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0.9487–1.0006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0.9474–1.0020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maximum / 1°C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0.9645–0.9981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0.9584–1.0044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0.9593–1.0035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0.9583–1.0046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minimum / 1°C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0.9556–0.9909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0.9500–0.9967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0.9483–0.9986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0.9469–1.0000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Hot nights / 5 days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0.9702–1.0372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0.9706–1.0367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0.9739–1.0332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0.9759–1.0311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Very hot days / 5 days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0.9637–1.0274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0.9629–1.0282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0.9637–1.0273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0.9630–1.0281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Cold days / 5 days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1.0227–1.1253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1.0113–1.1381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1.0066–1.1434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1.0065–1.1435</w:t>
            </w:r>
          </w:p>
        </w:tc>
      </w:tr>
    </w:tbl>
    <w:p>
      <w:pPr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4"/>
        </w:rPr>
      </w:r>
    </w:p>
    <w:p>
      <w:pPr>
        <w:pStyle w:val="Heading1"/>
        <w:keepNext/>
        <w:keepLines/>
        <w:spacing w:after="120" w:before="24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7"/>
        </w:rPr>
        <w:t>Interpretation and source binding</w:t>
      </w:r>
    </w:p>
    <w:p>
      <w:pPr>
        <w:spacing w:after="16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3"/>
        </w:rPr>
        <w:t>The pre-2020 fit uses 84 of the 132 full-window months and a recalculated spline basis. No independent 2020–2023 coefficient, interaction test or weather standardisation is reported. General-population rates in older aggregate files are omitted because the population is not the eligible first-event risk set.</w:t>
      </w:r>
    </w:p>
    <w:p>
      <w:pPr>
        <w:spacing w:after="16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3"/>
        </w:rPr>
        <w:t>Tables draw from the repository files outputs/tables/cvd_descriptive_annual_totals.csv, cvd_descriptive_covid_era_means.csv, cvd_core_robust_estimates.csv and cvd_trend_depletion_sensitivity.csv. Baseline diagnostics are in cvd_core_model_fit.csv. All health values have HA_APPROVED_AGGREGATE provenance; no monthly governed files were read to produce this revision.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ind w:firstLine="0"/>
      <w:jc w:val="left"/>
      <w:tabs>
        <w:tab w:val="right" w:pos="9360"/>
      </w:tabs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results for first hospitalisation counts before and during the COVID pandemic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