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00"/>
      </w:pPr>
      <w:r>
        <w:rPr>
          <w:rFonts w:ascii="Times New Roman" w:hAnsi="Times New Roman" w:eastAsia="Times New Roman"/>
          <w:b w:val="0"/>
          <w:i w:val="0"/>
          <w:sz w:val="32"/>
        </w:rPr>
        <w:t>Supplementary results for first hospitalisation counts before and during the COVID pandemic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tables distinguish disjoint descriptive periods from overlapping model fits. Confidence intervals describe exploratory associations; no later-era effect is inferred by subtracting nested coefficients.</w:t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Descriptive periods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S1. Monthly mean recorded counts in non overlapping calendar periods. Arithmetic means from aggregate period summaries.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4"/>
        <w:gridCol w:w="2040"/>
        <w:gridCol w:w="2040"/>
        <w:gridCol w:w="2040"/>
      </w:tblGrid>
      <w:tr>
        <w:trPr>
          <w:cantSplit/>
          <w:tblHeader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Period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CHD monthly mean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HF monthly mean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2013–2019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84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1315.3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252.0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2020–2022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36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926.3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172.6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2023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1026.9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191.3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Complete baseline panel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S2. All twelve full window baseline weather models. Days-in-month offset, calendar-month indicators, four-degree-of-freedom natural time spline; Newey–West lag-six intervals. BH q-values cover these twelve Wald tests only.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7"/>
        <w:gridCol w:w="2304"/>
        <w:gridCol w:w="2951"/>
        <w:gridCol w:w="1224"/>
        <w:gridCol w:w="1296"/>
      </w:tblGrid>
      <w:tr>
        <w:trPr>
          <w:cantSplit/>
          <w:tblHeader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Outcome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Exposure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Count ratio and 95% CI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p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BH q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(0.976–1.010)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0.424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0.726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(0.979–1.007)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0.321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0.642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0.994 (0.977–1.012)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0.509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0.764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1.022 (1.002–1.042)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0.032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0.192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0.999 (0.974–1.025)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0.962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CHD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(0.949–1.043)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0.823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0.900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 (0.947–1.002)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0.069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0.207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0.981 (0.958–1.005)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0.113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0.272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0.973 (0.947–1.000)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0.050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0.202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1.003 (0.976–1.031)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0.825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0.900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(0.963–1.028)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0.764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0.900</w:t>
            </w:r>
          </w:p>
        </w:tc>
      </w:tr>
      <w:tr>
        <w:trPr>
          <w:cantSplit/>
        </w:trPr>
        <w:tc>
          <w:tcPr>
            <w:tcW w:type="dxa" w:w="1008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HF</w:t>
            </w:r>
          </w:p>
        </w:tc>
        <w:tc>
          <w:tcPr>
            <w:tcW w:type="dxa" w:w="230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295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1.073 (1.006–1.144)</w:t>
            </w:r>
          </w:p>
        </w:tc>
        <w:tc>
          <w:tcPr>
            <w:tcW w:type="dxa" w:w="122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0.031</w:t>
            </w:r>
          </w:p>
        </w:tc>
        <w:tc>
          <w:tcPr>
            <w:tcW w:type="dxa" w:w="129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0.192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HF mean-minimum-temperature lag-six interval includes one on the unrounded scale; its upper bound is 1.0000496637 (Wald p = 0.0504). Rounding to 1.000 in Table S2 or 1.0000 in Table S4 does not change that interpretation.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nested pre-2020 continuous-temperature fits were CHD mean temperature 0.980 (0.970–0.990), mean maximum 0.982 (0.974–0.991), and mean minimum 0.982 (0.972–0.992); HF corresponding fits were 0.945 (0.927–0.963), 0.958 (0.939–0.977), 0.944 (0.927–0.961). These estimates are not multiplicity-adjusted or a later-era contrast.</w:t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Calendar specification sensitivity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S3. Complete official day panel under alternative calendar specifications. Ratios per five days with Newey–West lag-six intervals. Baseline and nested values are in main Table 2. Year indicators replace the spline. COVID-phase intercepts supplement the baseline in the full series; they are not a third window. Omission checks shorten the series. These sensitivity estimates have no multiplicity adjustment.</w:t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CHD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4"/>
        <w:gridCol w:w="2040"/>
        <w:gridCol w:w="2040"/>
        <w:gridCol w:w="2040"/>
      </w:tblGrid>
      <w:tr>
        <w:trPr>
          <w:cantSplit/>
          <w:tblHeader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Specification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Hot nights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Very hot days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Cold days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3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1.011 (0.990–1.032)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(0.967–1.020)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0.989 (0.934–1.046)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6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1.024 (1.005–1.044)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0.999 (0.975–1.023)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0.999 (0.952–1.047)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8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1.023 (1.005–1.042)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 (0.974–1.021)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 (0.950–1.047)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Year indicators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1.025 (1.000–1.050)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1.006 (0.983–1.029)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0.994 (0.939–1.052)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12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1.020 (1.000–1.040)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(0.969–1.022)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1.008 (0.954–1.065)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24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1.017 (0.999–1.036)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(0.966–1.020)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0.989 (0.930–1.053)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COVID phase intercepts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1.013 (0.994–1.033)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(0.973–1.013)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0.991 (0.943–1.041)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HF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4"/>
        <w:gridCol w:w="2040"/>
        <w:gridCol w:w="2040"/>
        <w:gridCol w:w="2040"/>
      </w:tblGrid>
      <w:tr>
        <w:trPr>
          <w:cantSplit/>
          <w:tblHeader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Specification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Hot nights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Very hot days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Cold days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3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(0.963–1.025)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0.989 (0.956–1.024)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1.066 (1.005–1.131)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6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1.004 (0.977–1.032)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(0.963–1.028)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1.072 (1.005–1.143)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Time spline 8 df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1.002 (0.978–1.028)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0.993 (0.963–1.024)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1.062 (0.994–1.135)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Year indicators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1.004 (0.982–1.026)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 (0.971–1.024)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1.061 (0.997–1.129)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12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1.007 (0.977–1.038)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 (0.963–1.029)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1.067 (0.995–1.143)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Omit first 24 months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1.003 (0.974–1.034)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0.988 (0.957–1.021)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1.043 (0.965–1.127)</w:t>
            </w:r>
          </w:p>
        </w:tc>
      </w:tr>
      <w:tr>
        <w:trPr>
          <w:cantSplit/>
        </w:trPr>
        <w:tc>
          <w:tcPr>
            <w:tcW w:type="dxa" w:w="2664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COVID phase intercepts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0.994 (0.972–1.016)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0.990 (0.963–1.017)</w:t>
            </w:r>
          </w:p>
        </w:tc>
        <w:tc>
          <w:tcPr>
            <w:tcW w:type="dxa" w:w="2040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1.074 (1.006–1.145)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Uncertainty constructions</w:t>
      </w:r>
    </w:p>
    <w:p>
      <w:pPr>
        <w:keepNext/>
        <w:keepLines/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1"/>
        </w:rPr>
        <w:t>Supplementary Table S4. Uncertainty intervals for all twelve baseline models. All four constructions use the same fitted coefficient. Lag-six q-values appear in Table S2 and do not apply to the other interval constructions. Four decimal places are retained for the near-null CHD hot-night lag-three bounds.</w:t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CHD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36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Exposure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HC1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NW3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NW6 CI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0.9772–1.0092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0.9745–1.0120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0.9759–1.0105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0.9762–1.0102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0.9788–1.0073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0.9764–1.0098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0.9784–1.0077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0.9791–1.0069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0.9788–1.0098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0.9763–1.0124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0.9768–1.0119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0.9771–1.0116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0.9950–1.0494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0.9973–1.0469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1.0003–1.0439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1.0019–1.0422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0.9741–1.0254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0.9747–1.0247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0.9735–1.0260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0.9744–1.0251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0.9539–1.0371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0.9555–1.0353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0.9495–1.0419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0.9488–1.0427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2"/>
        <w:keepNext/>
        <w:keepLines/>
        <w:spacing w:after="120" w:before="1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HF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5000" w:type="pct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36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Exposure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Model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HC1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NW3 CI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NW6 CI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temperature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0.9561–0.9929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0.9494–0.9999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0.9487–1.0006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0.9474–1.0020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maximum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0.9645–0.9981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0.9584–1.0044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0.9593–1.0035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0.9583–1.0046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Mean minimum / 1°C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0.9556–0.9909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0.9500–0.9967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0.9483–0.9986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0.9469–1.0000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Hot nights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0.9702–1.0372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0.9706–1.0367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0.9739–1.0332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0.9759–1.0311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Very hot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0.9637–1.0274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0.9629–1.0282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0.9637–1.0273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0.9630–1.0281</w:t>
            </w:r>
          </w:p>
        </w:tc>
      </w:tr>
      <w:tr>
        <w:trPr>
          <w:cantSplit/>
        </w:trPr>
        <w:tc>
          <w:tcPr>
            <w:tcW w:type="dxa" w:w="2736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Cold days / 5 days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1.0227–1.1253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1.0113–1.1381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1.0066–1.1434</w:t>
            </w:r>
          </w:p>
        </w:tc>
        <w:tc>
          <w:tcPr>
            <w:tcW w:type="dxa" w:w="1512"/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keepNext w:val="0"/>
              <w:keepLines/>
              <w:spacing w:after="20" w:before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1.0065–1.1435</w:t>
            </w:r>
          </w:p>
        </w:tc>
      </w:tr>
    </w:tbl>
    <w:p>
      <w:pPr>
        <w:spacing w:after="12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4"/>
        </w:rPr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Interpretation and source binding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The pre-2020 fit uses 84 of the 132 full-window months and a recalculated spline basis. No independent 2020–2023 coefficient, interaction test or weather standardisation is reported. General-population rates in older aggregate files are omitted because the population is not the eligible first-event risk set.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3"/>
        </w:rPr>
        <w:t>Tables draw from the repository files outputs/tables/cvd_descriptive_annual_totals.csv, cvd_descriptive_covid_era_means.csv, cvd_core_robust_estimates.csv and cvd_trend_depletion_sensitivity.csv. Baseline diagnostics are in cvd_core_model_fit.csv. All health values have HA_APPROVED_AGGREGATE provenance; no monthly governed files were read to produce this revision.</w:t>
      </w:r>
    </w:p>
    <w:p>
      <w:pPr>
        <w:pStyle w:val="Heading1"/>
        <w:keepNext/>
        <w:keepLines/>
        <w:spacing w:after="120" w:before="24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7"/>
        </w:rPr>
        <w:t>Visual comparison of nested and full windows</w:t>
      </w:r>
    </w:p>
    <w:p>
      <w:pPr>
        <w:spacing w:after="160" w:before="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3"/>
        </w:rPr>
        <w:t>Supplementary Figure S1. Official day associations in overlapping analysis windows.</w:t>
      </w:r>
      <w:r>
        <w:rPr>
          <w:rFonts w:ascii="Times New Roman" w:hAnsi="Times New Roman" w:eastAsia="Times New Roman"/>
          <w:b w:val="0"/>
          <w:i w:val="0"/>
          <w:sz w:val="23"/>
        </w:rPr>
        <w:t xml:space="preserve"> Points and Newey–West lag-six 95% confidence intervals reproduce main Table 2. The pre-2020 84 months are contained within the full 132 months, and the spline basis is recalculated in each fit. The paired display is a sensitivity comparison, not independent pre/post estimates or a test of a change. Ratios are per five additional official days, without a consecutive-day requirement.</w:t>
      </w:r>
    </w:p>
    <w:p>
      <w:pPr>
        <w:keepLines/>
        <w:spacing w:after="160" w:before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2577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nested_window_associations_202610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779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ind w:firstLine="0"/>
      <w:jc w:val="left"/>
      <w:tabs>
        <w:tab w:val="right" w:pos="9360"/>
      </w:tabs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results for first hospitalisation counts before and during the COVID pandemic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