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Model 2 adds monthly mean relative humidity and monthly total rainfall. Model 3 replaces official extreme-day counts with counts of days warmer or cooler than the historical same-calendar-day mean. Reported estimates are from Model 1. Intervals used model-based, HC1, and Newey–West lag-3 and lag-6 constructions. Benjamini–Hochberg q-values covered the twelve Model 1 fits.</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   (1)</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commentRangeStart w:id="5"/>
      <w:r>
        <w:rPr>
          <w:rFonts w:ascii="Times New Roman" w:hAnsi="Times New Roman" w:eastAsia="Times New Roman"/>
          <w:b w:val="0"/>
          <w:i w:val="0"/>
          <w:sz w:val="24"/>
        </w:rPr>
        <w:t>Model 2 additionally adds monthly mean relative humidity [21] and monthly total rainfall [22] to Model 1. Goggins and Chan entered daily mean temperature, humidity, and wind speed as predictors of daily heart-failure admissions in Hong Kong, and reported that both high and low relative humidity were modestly associated with more admissions [21]. Chan et al. entered same-day rainfall on the hypothesis that heavy rain deters hospital attendance [22]. Both papers used daily terms; a monthly mean and a monthly total are coarser. Table 2 reports Model 1.</w:t>
      </w:r>
      <w:commentRangeEnd w:id="5"/>
      <w:r>
        <w:rPr>
          <w:rStyle w:val="CommentReference"/>
        </w:rPr>
        <w:commentReference w:id="5"/>
      </w:r>
    </w:p>
    <w:p>
      <w:pPr>
        <w:spacing w:after="160" w:before="0" w:line="240" w:lineRule="auto"/>
        <w:ind w:firstLine="720"/>
        <w:jc w:val="both"/>
      </w:pPr>
      <w:r>
        <w:rPr>
          <w:rFonts w:ascii="Times New Roman" w:hAnsi="Times New Roman" w:eastAsia="Times New Roman"/>
          <w:b w:val="0"/>
          <w:i w:val="0"/>
          <w:sz w:val="24"/>
        </w:rPr>
        <w:t>Model 3 counts, for each month, the days whose daily mean temperature was above or below the historical average for that day of the year. For 15 July 2018, that historical average is the leave-one-year-out mean of other 15 July daily mean temperatures in Hong Kong Observatory records for 2012–2023. Equal values are counted as neither. The same counts based on daily maximum and minimum temperature are sensitivities; they do not replace the daily-mean counts. Model 3 is specified and is not reported in Table 2.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 The maximum- and minimum-temperature versions of the Model 3 day counts are sensitivities; they do not replace the daily-mean counts in Model 3.</w:t>
      </w:r>
    </w:p>
    <w:p>
      <w:pPr>
        <w:spacing w:after="160" w:before="0" w:line="240" w:lineRule="auto"/>
        <w:ind w:firstLine="720"/>
        <w:jc w:val="both"/>
      </w:pPr>
      <w:r>
        <w:rPr>
          <w:rFonts w:ascii="Times New Roman" w:hAnsi="Times New Roman" w:eastAsia="Times New Roman"/>
          <w:b w:val="0"/>
          <w:i w:val="0"/>
          <w:sz w:val="24"/>
        </w:rPr>
        <w:t>Other checks were: the time trend (3, 6, or 8 degrees of freedom, or year indicators);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pageBreakBefore/>
        <w:spacing w:after="120" w:before="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keepNext/>
        <w:keepLines/>
        <w:pageBreakBefore/>
        <w:spacing w:after="20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2088"/>
        <w:gridCol w:w="1123"/>
        <w:gridCol w:w="792"/>
        <w:gridCol w:w="1224"/>
        <w:gridCol w:w="1368"/>
        <w:gridCol w:w="2419"/>
      </w:tblGrid>
      <w:tr>
        <w:trPr>
          <w:cantSplit/>
          <w:tblHeader/>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208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36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2419"/>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pageBreakBefore/>
        <w:spacing w:after="120" w:before="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keepNext/>
        <w:pageBreakBefore/>
        <w:spacing w:after="120" w:before="0" w:line="240" w:lineRule="auto"/>
        <w:ind w:firstLine="0"/>
        <w:jc w:val="left"/>
      </w:pPr>
      <w:r>
        <w:rPr>
          <w:rFonts w:ascii="Times New Roman" w:hAnsi="Times New Roman" w:eastAsia="Times New Roman"/>
          <w:b/>
          <w:i w:val="0"/>
          <w:sz w:val="24"/>
        </w:rPr>
        <w:t>Model 1</w:t>
      </w:r>
    </w:p>
    <w:p>
      <w:pPr>
        <w:keepNext/>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keepNext/>
        <w:keepLines/>
        <w:spacing w:after="200" w:before="120" w:line="240" w:lineRule="auto"/>
        <w:ind w:firstLine="0"/>
        <w:jc w:val="left"/>
      </w:pPr>
      <w:commentRangeStart w:id="6"/>
      <w:r>
        <w:rPr>
          <w:rFonts w:ascii="Times New Roman" w:hAnsi="Times New Roman" w:eastAsia="Times New Roman"/>
          <w:b w:val="0"/>
          <w:i/>
          <w:sz w:val="22"/>
        </w:rPr>
        <w:t>Table 2. Model 1: negative-binomial models with an offset for the number of days in the month and Newey–West lag-6 intervals.</w:t>
      </w:r>
      <w:commentRangeEnd w:id="6"/>
      <w:r>
        <w:rPr>
          <w:rStyle w:val="CommentReference"/>
        </w:rPr>
        <w:commentReference w:id="6"/>
      </w:r>
    </w:p>
    <w:tbl>
      <w:tblPr>
        <w:tblStyle w:val="TableGrid"/>
        <w:tblLayout w:type="fixed"/>
        <w:tblLook w:firstColumn="1" w:firstRow="1" w:lastColumn="0" w:lastRow="0" w:noHBand="0" w:noVBand="1" w:val="04A0"/>
        <w:tblW w:w="5000" w:type="pct"/>
        <w:tblLayout w:type="fixed"/>
      </w:tblPr>
      <w:tblGrid>
        <w:gridCol w:w="1123"/>
        <w:gridCol w:w="2951"/>
        <w:gridCol w:w="2995"/>
        <w:gridCol w:w="792"/>
        <w:gridCol w:w="1152"/>
      </w:tblGrid>
      <w:tr>
        <w:trPr>
          <w:cantSplit/>
          <w:tblHeader/>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Outcome</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Exposure contrast</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Count ratio (95% CI)</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p</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BH q</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(0.976–1.010)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0.424</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0.726</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(0.979–1.007)</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0.321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0.642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0.994 (0.977–1.012)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0.509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0.764</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1.022 (1.002–1.042)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0.995 (0.949–1.043)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0.999 (0.974–1.025)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0.974 (0.947–1.002)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0.069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0.207</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0.981 (0.958–1.005)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0.113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0.272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0.973 (0.947–1.000)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0.050</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1.003 (0.976–1.031)</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0.825</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1.073 (1.006–1.144)</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0.995 (0.963–1.028)</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0.764</w:t>
            </w:r>
          </w:p>
        </w:tc>
        <w:tc>
          <w:tcPr>
            <w:tcW w:type="dxa" w:w="11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0.900</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keepNext/>
        <w:pageBreakBefore/>
        <w:spacing w:after="120" w:before="0" w:line="240" w:lineRule="auto"/>
        <w:ind w:firstLine="0"/>
        <w:jc w:val="left"/>
      </w:pPr>
      <w:r>
        <w:rPr>
          <w:rFonts w:ascii="Times New Roman" w:hAnsi="Times New Roman" w:eastAsia="Times New Roman"/>
          <w:b/>
          <w:i w:val="0"/>
          <w:sz w:val="24"/>
        </w:rPr>
        <w:t>Uncertainty ladder</w:t>
      </w:r>
    </w:p>
    <w:p>
      <w:pPr>
        <w:keepNext/>
        <w:keepLines/>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2160"/>
        <w:gridCol w:w="1713"/>
        <w:gridCol w:w="1713"/>
        <w:gridCol w:w="1713"/>
        <w:gridCol w:w="1713"/>
      </w:tblGrid>
      <w:tr>
        <w:trPr>
          <w:cantSplit/>
          <w:tblHeader/>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2160"/>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The pre-2020 window moved more than those two contrasts: nine of the twelve Newey–West lag-6 intervals excluded 1 in that 84-month window, including inverse associations for all six continuous temperature contrasts (Figure 3;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3023616"/>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5669280" cy="3023616"/>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3. Model 1 count ratios across trend, window, and COVID-period specifications (Newey–West lag-6 intervals). All twelve Model 1 fits are shown across nine specifications.</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pageBreakBefore/>
        <w:spacing w:after="120" w:before="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pageBreakBefore/>
        <w:spacing w:after="120" w:before="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Better-denominated and more finely resolved data are required before a thermal effect on cardiac hospitalisation in this cohort can be estimated.</w:t>
      </w:r>
    </w:p>
    <w:p>
      <w:pPr>
        <w:pageBreakBefore/>
        <w:spacing w:after="120" w:before="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for this analysis.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pageBreakBefore/>
        <w:spacing w:after="120" w:before="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p>
      <w:pPr>
        <w:spacing w:after="80" w:before="0" w:line="240" w:lineRule="auto"/>
        <w:ind w:left="425" w:hanging="425"/>
        <w:jc w:val="left"/>
      </w:pPr>
      <w:r>
        <w:rPr>
          <w:rFonts w:ascii="Times New Roman" w:hAnsi="Times New Roman" w:eastAsia="Times New Roman"/>
          <w:b w:val="0"/>
          <w:i w:val="0"/>
          <w:sz w:val="22"/>
        </w:rPr>
        <w:t>22. Chan EYY, Goggins WB, Yue JSK, Lee P. Hospital admissions as a function of temperature, other weather phenomena and pollution levels in an urban setting in China. Bull World Health Organ. 2013;91(8):576-584. doi:10.2471/BLT.12.113035</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8-27T05:24:48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8-27T05:24:48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8-27T05:24:48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8-27T05:24:48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8-27T05:24:49Z">
    <w:p>
      <w:pPr>
        <w:pStyle w:val="CommentText"/>
      </w:pPr>
      <w:r>
        <w:rPr>
          <w:rStyle w:val="CommentReference"/>
        </w:rPr>
        <w:annotationRef/>
      </w:r>
      <w:r>
        <w:t>Your averaging sentence is left verbatim. In our pipeline, rainfall is a monthly total (mm), official extreme days are counts, and humidity is a monthly mean. We have not overwritten the sentence.</w:t>
      </w:r>
    </w:p>
  </w:comment>
  <w:comment w:id="5" w:author="Bob Shen" w:initials="BS" w:date="2026-08-27T05:24:49Z">
    <w:p>
      <w:pPr>
        <w:pStyle w:val="CommentText"/>
      </w:pPr>
      <w:r>
        <w:rPr>
          <w:rStyle w:val="CommentReference"/>
        </w:rPr>
        <w:annotationRef/>
      </w:r>
      <w:r>
        <w:t>Model 2 is specified here and has not been fitted on the governed panel. Table 2 remains Model 1. Do not type Model 2 coefficients by hand.</w:t>
      </w:r>
    </w:p>
  </w:comment>
  <w:comment w:id="6" w:author="Bob Shen" w:initials="BS" w:date="2026-08-27T05:24:49Z">
    <w:p>
      <w:pPr>
        <w:pStyle w:val="CommentText"/>
      </w:pPr>
      <w:r>
        <w:rPr>
          <w:rStyle w:val="CommentReference"/>
        </w:rPr>
        <w:annotationRef/>
      </w:r>
      <w:r>
        <w:t>Table 2 reports Model 1 (thermal variables only; no monthly rainfall or humidity). Model 2 adds those two covariates and is specified in Methods. On a machine with the governed panel, run Rscript scripts/53_hogan_models_rh_rain.R and paste Model 2 beside or after Table 2. No new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