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total rainfall and mean relative humidity. Model 3 replaces official extreme-day counts with days warmer or cooler than the historical same-calendar-day mean. Intervals used model-based, HC1, and Newey–West lag-3 and lag-6 constructions. Benjamini–Hochberg q-values covered the twelve Model 1 fits. Table 2 reports Model 1.</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spacing w:after="120" w:before="24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r>
        <w:rPr>
          <w:rFonts w:ascii="Times New Roman" w:hAnsi="Times New Roman" w:eastAsia="Times New Roman"/>
          <w:b w:val="0"/>
          <w:i w:val="0"/>
          <w:sz w:val="24"/>
        </w:rPr>
        <w:t>Model 2 adds monthly total rainfall and monthly mean relative humidity to Model 1. Goggins and Chan included humidity among meteorological predictors of daily heart-failure admissions in Hong Kong [21]. Rainfall is entered because it is in the monthly weather list.</w:t>
      </w:r>
    </w:p>
    <w:p>
      <w:pPr>
        <w:spacing w:after="160" w:before="0" w:line="240" w:lineRule="auto"/>
        <w:ind w:firstLine="720"/>
        <w:jc w:val="both"/>
      </w:pPr>
      <w:r>
        <w:rPr>
          <w:rFonts w:ascii="Times New Roman" w:hAnsi="Times New Roman" w:eastAsia="Times New Roman"/>
          <w:b w:val="0"/>
          <w:i w:val="0"/>
          <w:sz w:val="24"/>
        </w:rPr>
        <w:t>Model 3 uses the same structure as Model 1, but replaces official hot-night, very-hot-day, and cold-day counts with monthly counts of days warmer or cooler than the historical average for that same calendar date. For each month-day (for example 15 January), the historical average of daily mean, maximum, and minimum temperature was the leave-one-year-out mean of that month-day across Hong Kong Observatory daily records for 2012–2023. Each day in 2013–2023 was then classified as above or below that average. Equal values were counted as neither. Those six monthly counts were computed for each calendar month. Model 3 is specified and is not reported in Table 2.</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w:t>
      </w:r>
    </w:p>
    <w:p>
      <w:pPr>
        <w:spacing w:after="160" w:before="0" w:line="240" w:lineRule="auto"/>
        <w:ind w:firstLine="720"/>
        <w:jc w:val="both"/>
      </w:pPr>
      <w:r>
        <w:rPr>
          <w:rFonts w:ascii="Times New Roman" w:hAnsi="Times New Roman" w:eastAsia="Times New Roman"/>
          <w:b w:val="0"/>
          <w:i w:val="0"/>
          <w:sz w:val="24"/>
        </w:rPr>
        <w:t>Other checks were: the time trend (3, 6, or 8 degrees of freedom, or year indicators);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spacing w:after="120" w:before="24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spacing w:after="200" w:before="120" w:line="240" w:lineRule="auto"/>
        <w:ind w:firstLine="0"/>
        <w:jc w:val="left"/>
      </w:pPr>
      <w:r>
        <w:rPr>
          <w:rFonts w:ascii="Times New Roman" w:hAnsi="Times New Roman" w:eastAsia="Times New Roman"/>
          <w:b w:val="0"/>
          <w:i/>
          <w:sz w:val="22"/>
        </w:rPr>
        <w:t>Table 1. Outcome summary.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40" w:before="40" w:line="240" w:lineRule="auto"/>
              <w:ind w:firstLine="0"/>
              <w:jc w:val="left"/>
            </w:pPr>
            <w:r/>
            <w:r>
              <w:rPr>
                <w:rFonts w:ascii="Times New Roman" w:hAnsi="Times New Roman" w:eastAsia="Times New Roman"/>
                <w:b/>
                <w:i w:val="0"/>
                <w:sz w:val="20"/>
              </w:rPr>
              <w:t>Outcome</w:t>
            </w:r>
          </w:p>
        </w:tc>
        <w:tc>
          <w:tcPr>
            <w:tcW w:type="dxa" w:w="1560"/>
          </w:tcPr>
          <w:p>
            <w:pPr>
              <w:spacing w:after="40" w:before="40" w:line="240" w:lineRule="auto"/>
              <w:ind w:firstLine="0"/>
              <w:jc w:val="left"/>
            </w:pPr>
            <w:r/>
            <w:r>
              <w:rPr>
                <w:rFonts w:ascii="Times New Roman" w:hAnsi="Times New Roman" w:eastAsia="Times New Roman"/>
                <w:b/>
                <w:i w:val="0"/>
                <w:sz w:val="20"/>
              </w:rPr>
              <w:t>Period</w:t>
            </w:r>
          </w:p>
        </w:tc>
        <w:tc>
          <w:tcPr>
            <w:tcW w:type="dxa" w:w="1560"/>
          </w:tcPr>
          <w:p>
            <w:pPr>
              <w:spacing w:after="40" w:before="40" w:line="240" w:lineRule="auto"/>
              <w:ind w:firstLine="0"/>
              <w:jc w:val="left"/>
            </w:pPr>
            <w:r/>
            <w:r>
              <w:rPr>
                <w:rFonts w:ascii="Times New Roman" w:hAnsi="Times New Roman" w:eastAsia="Times New Roman"/>
                <w:b/>
                <w:i w:val="0"/>
                <w:sz w:val="20"/>
              </w:rPr>
              <w:t>Months</w:t>
            </w:r>
          </w:p>
        </w:tc>
        <w:tc>
          <w:tcPr>
            <w:tcW w:type="dxa" w:w="1560"/>
          </w:tcPr>
          <w:p>
            <w:pPr>
              <w:spacing w:after="40" w:before="40" w:line="240" w:lineRule="auto"/>
              <w:ind w:firstLine="0"/>
              <w:jc w:val="left"/>
            </w:pPr>
            <w:r/>
            <w:r>
              <w:rPr>
                <w:rFonts w:ascii="Times New Roman" w:hAnsi="Times New Roman" w:eastAsia="Times New Roman"/>
                <w:b/>
                <w:i w:val="0"/>
                <w:sz w:val="20"/>
              </w:rPr>
              <w:t>Total events</w:t>
            </w:r>
          </w:p>
        </w:tc>
        <w:tc>
          <w:tcPr>
            <w:tcW w:type="dxa" w:w="1560"/>
          </w:tcPr>
          <w:p>
            <w:pPr>
              <w:spacing w:after="40" w:before="40" w:line="240" w:lineRule="auto"/>
              <w:ind w:firstLine="0"/>
              <w:jc w:val="left"/>
            </w:pPr>
            <w:r/>
            <w:r>
              <w:rPr>
                <w:rFonts w:ascii="Times New Roman" w:hAnsi="Times New Roman" w:eastAsia="Times New Roman"/>
                <w:b/>
                <w:i w:val="0"/>
                <w:sz w:val="20"/>
              </w:rPr>
              <w:t>Mean per month</w:t>
            </w:r>
          </w:p>
        </w:tc>
        <w:tc>
          <w:tcPr>
            <w:tcW w:type="dxa" w:w="1560"/>
          </w:tcPr>
          <w:p>
            <w:pPr>
              <w:spacing w:after="40" w:before="40" w:line="240" w:lineRule="auto"/>
              <w:ind w:firstLine="0"/>
              <w:jc w:val="left"/>
            </w:pPr>
            <w:r/>
            <w:r>
              <w:rPr>
                <w:rFonts w:ascii="Times New Roman" w:hAnsi="Times New Roman" w:eastAsia="Times New Roman"/>
                <w:b/>
                <w:i w:val="0"/>
                <w:sz w:val="20"/>
              </w:rPr>
              <w:t>Event construction</w:t>
            </w:r>
          </w:p>
        </w:tc>
      </w:tr>
      <w:tr>
        <w:tc>
          <w:tcPr>
            <w:tcW w:type="dxa" w:w="1560"/>
          </w:tcPr>
          <w:p>
            <w:pPr>
              <w:spacing w:after="20" w:before="20" w:line="240" w:lineRule="auto"/>
              <w:ind w:firstLine="0"/>
              <w:jc w:val="left"/>
            </w:pPr>
            <w:r/>
            <w:r>
              <w:rPr>
                <w:rFonts w:ascii="Times New Roman" w:hAnsi="Times New Roman" w:eastAsia="Times New Roman"/>
                <w:b w:val="0"/>
                <w:i w:val="0"/>
                <w:sz w:val="20"/>
              </w:rPr>
              <w:t>Coronary heart disease</w:t>
            </w:r>
          </w:p>
        </w:tc>
        <w:tc>
          <w:tcPr>
            <w:tcW w:type="dxa" w:w="1560"/>
          </w:tcPr>
          <w:p>
            <w:pPr>
              <w:spacing w:after="20" w:before="20" w:line="240" w:lineRule="auto"/>
              <w:ind w:firstLine="0"/>
              <w:jc w:val="left"/>
            </w:pPr>
            <w:r/>
            <w:r>
              <w:rPr>
                <w:rFonts w:ascii="Times New Roman" w:hAnsi="Times New Roman" w:eastAsia="Times New Roman"/>
                <w:b w:val="0"/>
                <w:i w:val="0"/>
                <w:sz w:val="20"/>
              </w:rPr>
              <w:t>2013–2023</w:t>
            </w:r>
          </w:p>
        </w:tc>
        <w:tc>
          <w:tcPr>
            <w:tcW w:type="dxa" w:w="1560"/>
          </w:tcPr>
          <w:p>
            <w:pPr>
              <w:spacing w:after="20" w:before="20" w:line="240" w:lineRule="auto"/>
              <w:ind w:firstLine="0"/>
              <w:jc w:val="left"/>
            </w:pPr>
            <w:r/>
            <w:r>
              <w:rPr>
                <w:rFonts w:ascii="Times New Roman" w:hAnsi="Times New Roman" w:eastAsia="Times New Roman"/>
                <w:b w:val="0"/>
                <w:i w:val="0"/>
                <w:sz w:val="20"/>
              </w:rPr>
              <w:t>132</w:t>
            </w:r>
          </w:p>
        </w:tc>
        <w:tc>
          <w:tcPr>
            <w:tcW w:type="dxa" w:w="1560"/>
          </w:tcPr>
          <w:p>
            <w:pPr>
              <w:spacing w:after="20" w:before="20" w:line="240" w:lineRule="auto"/>
              <w:ind w:firstLine="0"/>
              <w:jc w:val="left"/>
            </w:pPr>
            <w:r/>
            <w:r>
              <w:rPr>
                <w:rFonts w:ascii="Times New Roman" w:hAnsi="Times New Roman" w:eastAsia="Times New Roman"/>
                <w:b w:val="0"/>
                <w:i w:val="0"/>
                <w:sz w:val="20"/>
              </w:rPr>
              <w:t>156,156</w:t>
            </w:r>
          </w:p>
        </w:tc>
        <w:tc>
          <w:tcPr>
            <w:tcW w:type="dxa" w:w="1560"/>
          </w:tcPr>
          <w:p>
            <w:pPr>
              <w:spacing w:after="20" w:before="20" w:line="240" w:lineRule="auto"/>
              <w:ind w:firstLine="0"/>
              <w:jc w:val="left"/>
            </w:pPr>
            <w:r/>
            <w:r>
              <w:rPr>
                <w:rFonts w:ascii="Times New Roman" w:hAnsi="Times New Roman" w:eastAsia="Times New Roman"/>
                <w:b w:val="0"/>
                <w:i w:val="0"/>
                <w:sz w:val="20"/>
              </w:rPr>
              <w:t>1,183.0</w:t>
            </w:r>
          </w:p>
        </w:tc>
        <w:tc>
          <w:tcPr>
            <w:tcW w:type="dxa" w:w="1560"/>
          </w:tcPr>
          <w:p>
            <w:pPr>
              <w:spacing w:after="20" w:before="20" w:line="240" w:lineRule="auto"/>
              <w:ind w:firstLine="0"/>
              <w:jc w:val="left"/>
            </w:pPr>
            <w:r/>
            <w:r>
              <w:rPr>
                <w:rFonts w:ascii="Times New Roman" w:hAnsi="Times New Roman" w:eastAsia="Times New Roman"/>
                <w:b w:val="0"/>
                <w:i w:val="0"/>
                <w:sz w:val="20"/>
              </w:rPr>
              <w:t>First recorded hospitalisation after first CHD diagnosis</w:t>
            </w:r>
          </w:p>
        </w:tc>
      </w:tr>
      <w:tr>
        <w:tc>
          <w:tcPr>
            <w:tcW w:type="dxa" w:w="1560"/>
          </w:tcPr>
          <w:p>
            <w:pPr>
              <w:spacing w:after="20" w:before="20" w:line="240" w:lineRule="auto"/>
              <w:ind w:firstLine="0"/>
              <w:jc w:val="left"/>
            </w:pPr>
            <w:r/>
            <w:r>
              <w:rPr>
                <w:rFonts w:ascii="Times New Roman" w:hAnsi="Times New Roman" w:eastAsia="Times New Roman"/>
                <w:b w:val="0"/>
                <w:i w:val="0"/>
                <w:sz w:val="20"/>
              </w:rPr>
              <w:t>Heart failure</w:t>
            </w:r>
          </w:p>
        </w:tc>
        <w:tc>
          <w:tcPr>
            <w:tcW w:type="dxa" w:w="1560"/>
          </w:tcPr>
          <w:p>
            <w:pPr>
              <w:spacing w:after="20" w:before="20" w:line="240" w:lineRule="auto"/>
              <w:ind w:firstLine="0"/>
              <w:jc w:val="left"/>
            </w:pPr>
            <w:r/>
            <w:r>
              <w:rPr>
                <w:rFonts w:ascii="Times New Roman" w:hAnsi="Times New Roman" w:eastAsia="Times New Roman"/>
                <w:b w:val="0"/>
                <w:i w:val="0"/>
                <w:sz w:val="20"/>
              </w:rPr>
              <w:t>2013–2023</w:t>
            </w:r>
          </w:p>
        </w:tc>
        <w:tc>
          <w:tcPr>
            <w:tcW w:type="dxa" w:w="1560"/>
          </w:tcPr>
          <w:p>
            <w:pPr>
              <w:spacing w:after="20" w:before="20" w:line="240" w:lineRule="auto"/>
              <w:ind w:firstLine="0"/>
              <w:jc w:val="left"/>
            </w:pPr>
            <w:r/>
            <w:r>
              <w:rPr>
                <w:rFonts w:ascii="Times New Roman" w:hAnsi="Times New Roman" w:eastAsia="Times New Roman"/>
                <w:b w:val="0"/>
                <w:i w:val="0"/>
                <w:sz w:val="20"/>
              </w:rPr>
              <w:t>132</w:t>
            </w:r>
          </w:p>
        </w:tc>
        <w:tc>
          <w:tcPr>
            <w:tcW w:type="dxa" w:w="1560"/>
          </w:tcPr>
          <w:p>
            <w:pPr>
              <w:spacing w:after="20" w:before="20" w:line="240" w:lineRule="auto"/>
              <w:ind w:firstLine="0"/>
              <w:jc w:val="left"/>
            </w:pPr>
            <w:r/>
            <w:r>
              <w:rPr>
                <w:rFonts w:ascii="Times New Roman" w:hAnsi="Times New Roman" w:eastAsia="Times New Roman"/>
                <w:b w:val="0"/>
                <w:i w:val="0"/>
                <w:sz w:val="20"/>
              </w:rPr>
              <w:t>29,681</w:t>
            </w:r>
          </w:p>
        </w:tc>
        <w:tc>
          <w:tcPr>
            <w:tcW w:type="dxa" w:w="1560"/>
          </w:tcPr>
          <w:p>
            <w:pPr>
              <w:spacing w:after="20" w:before="20" w:line="240" w:lineRule="auto"/>
              <w:ind w:firstLine="0"/>
              <w:jc w:val="left"/>
            </w:pPr>
            <w:r/>
            <w:r>
              <w:rPr>
                <w:rFonts w:ascii="Times New Roman" w:hAnsi="Times New Roman" w:eastAsia="Times New Roman"/>
                <w:b w:val="0"/>
                <w:i w:val="0"/>
                <w:sz w:val="20"/>
              </w:rPr>
              <w:t>224.9</w:t>
            </w:r>
          </w:p>
        </w:tc>
        <w:tc>
          <w:tcPr>
            <w:tcW w:type="dxa" w:w="1560"/>
          </w:tcPr>
          <w:p>
            <w:pPr>
              <w:spacing w:after="20" w:before="20" w:line="240" w:lineRule="auto"/>
              <w:ind w:firstLine="0"/>
              <w:jc w:val="left"/>
            </w:pPr>
            <w:r/>
            <w:r>
              <w:rPr>
                <w:rFonts w:ascii="Times New Roman" w:hAnsi="Times New Roman" w:eastAsia="Times New Roman"/>
                <w:b w:val="0"/>
                <w:i w:val="0"/>
                <w:sz w:val="20"/>
              </w:rPr>
              <w:t>First recorded hospitalisation after first HF diagnosis</w:t>
            </w:r>
          </w:p>
        </w:tc>
      </w:tr>
    </w:tbl>
    <w:p/>
    <w:p>
      <w:pPr>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spacing w:after="120" w:before="16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spacing w:after="120" w:before="160" w:line="240" w:lineRule="auto"/>
        <w:ind w:firstLine="0"/>
        <w:jc w:val="left"/>
      </w:pPr>
      <w:r>
        <w:rPr>
          <w:rFonts w:ascii="Times New Roman" w:hAnsi="Times New Roman" w:eastAsia="Times New Roman"/>
          <w:b/>
          <w:i w:val="0"/>
          <w:sz w:val="24"/>
        </w:rPr>
        <w:t>Model 1</w:t>
      </w:r>
    </w:p>
    <w:p>
      <w:pPr>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spacing w:after="200" w:before="120" w:line="240" w:lineRule="auto"/>
        <w:ind w:firstLine="0"/>
        <w:jc w:val="left"/>
      </w:pPr>
      <w:commentRangeStart w:id="5"/>
      <w:r>
        <w:rPr>
          <w:rFonts w:ascii="Times New Roman" w:hAnsi="Times New Roman" w:eastAsia="Times New Roman"/>
          <w:b w:val="0"/>
          <w:i/>
          <w:sz w:val="22"/>
        </w:rPr>
        <w:t>Table 2. Model 1: negative-binomial models with an offset for the number of days in the month and Newey–West lag-6 intervals.</w:t>
      </w:r>
      <w:commentRangeEnd w:id="5"/>
      <w:r>
        <w:rPr>
          <w:rStyle w:val="CommentReference"/>
        </w:rPr>
        <w:commentReference w:id="5"/>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ind w:firstLine="0"/>
              <w:jc w:val="left"/>
            </w:pPr>
            <w:r/>
            <w:r>
              <w:rPr>
                <w:rFonts w:ascii="Times New Roman" w:hAnsi="Times New Roman" w:eastAsia="Times New Roman"/>
                <w:b/>
                <w:i w:val="0"/>
                <w:sz w:val="20"/>
              </w:rPr>
              <w:t>Outcome</w:t>
            </w:r>
          </w:p>
        </w:tc>
        <w:tc>
          <w:tcPr>
            <w:tcW w:type="dxa" w:w="1872"/>
          </w:tcPr>
          <w:p>
            <w:pPr>
              <w:spacing w:after="40" w:before="40" w:line="240" w:lineRule="auto"/>
              <w:ind w:firstLine="0"/>
              <w:jc w:val="left"/>
            </w:pPr>
            <w:r/>
            <w:r>
              <w:rPr>
                <w:rFonts w:ascii="Times New Roman" w:hAnsi="Times New Roman" w:eastAsia="Times New Roman"/>
                <w:b/>
                <w:i w:val="0"/>
                <w:sz w:val="20"/>
              </w:rPr>
              <w:t>Exposure contrast</w:t>
            </w:r>
          </w:p>
        </w:tc>
        <w:tc>
          <w:tcPr>
            <w:tcW w:type="dxa" w:w="1872"/>
          </w:tcPr>
          <w:p>
            <w:pPr>
              <w:spacing w:after="40" w:before="40" w:line="240" w:lineRule="auto"/>
              <w:ind w:firstLine="0"/>
              <w:jc w:val="left"/>
            </w:pPr>
            <w:r/>
            <w:r>
              <w:rPr>
                <w:rFonts w:ascii="Times New Roman" w:hAnsi="Times New Roman" w:eastAsia="Times New Roman"/>
                <w:b/>
                <w:i w:val="0"/>
                <w:sz w:val="20"/>
              </w:rPr>
              <w:t>Count ratio (95% CI)</w:t>
            </w:r>
          </w:p>
        </w:tc>
        <w:tc>
          <w:tcPr>
            <w:tcW w:type="dxa" w:w="1872"/>
          </w:tcPr>
          <w:p>
            <w:pPr>
              <w:spacing w:after="40" w:before="40" w:line="240" w:lineRule="auto"/>
              <w:ind w:firstLine="0"/>
              <w:jc w:val="left"/>
            </w:pPr>
            <w:r/>
            <w:r>
              <w:rPr>
                <w:rFonts w:ascii="Times New Roman" w:hAnsi="Times New Roman" w:eastAsia="Times New Roman"/>
                <w:b/>
                <w:i w:val="0"/>
                <w:sz w:val="20"/>
              </w:rPr>
              <w:t>p</w:t>
            </w:r>
          </w:p>
        </w:tc>
        <w:tc>
          <w:tcPr>
            <w:tcW w:type="dxa" w:w="1872"/>
          </w:tcPr>
          <w:p>
            <w:pPr>
              <w:spacing w:after="40" w:before="40" w:line="240" w:lineRule="auto"/>
              <w:ind w:firstLine="0"/>
              <w:jc w:val="left"/>
            </w:pPr>
            <w:r/>
            <w:r>
              <w:rPr>
                <w:rFonts w:ascii="Times New Roman" w:hAnsi="Times New Roman" w:eastAsia="Times New Roman"/>
                <w:b/>
                <w:i w:val="0"/>
                <w:sz w:val="20"/>
              </w:rPr>
              <w:t>BH q</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0.993 (0.976–1.010)</w:t>
            </w:r>
          </w:p>
        </w:tc>
        <w:tc>
          <w:tcPr>
            <w:tcW w:type="dxa" w:w="1872"/>
          </w:tcPr>
          <w:p>
            <w:pPr>
              <w:spacing w:after="20" w:before="20" w:line="240" w:lineRule="auto"/>
              <w:ind w:firstLine="0"/>
              <w:jc w:val="left"/>
            </w:pPr>
            <w:r/>
            <w:r>
              <w:rPr>
                <w:rFonts w:ascii="Times New Roman" w:hAnsi="Times New Roman" w:eastAsia="Times New Roman"/>
                <w:b w:val="0"/>
                <w:i w:val="0"/>
                <w:sz w:val="20"/>
              </w:rPr>
              <w:t>0.424</w:t>
            </w:r>
          </w:p>
        </w:tc>
        <w:tc>
          <w:tcPr>
            <w:tcW w:type="dxa" w:w="1872"/>
          </w:tcPr>
          <w:p>
            <w:pPr>
              <w:spacing w:after="20" w:before="20" w:line="240" w:lineRule="auto"/>
              <w:ind w:firstLine="0"/>
              <w:jc w:val="left"/>
            </w:pPr>
            <w:r/>
            <w:r>
              <w:rPr>
                <w:rFonts w:ascii="Times New Roman" w:hAnsi="Times New Roman" w:eastAsia="Times New Roman"/>
                <w:b w:val="0"/>
                <w:i w:val="0"/>
                <w:sz w:val="20"/>
              </w:rPr>
              <w:t>0.726</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maximum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0.993 (0.979–1.007)</w:t>
            </w:r>
          </w:p>
        </w:tc>
        <w:tc>
          <w:tcPr>
            <w:tcW w:type="dxa" w:w="1872"/>
          </w:tcPr>
          <w:p>
            <w:pPr>
              <w:spacing w:after="20" w:before="20" w:line="240" w:lineRule="auto"/>
              <w:ind w:firstLine="0"/>
              <w:jc w:val="left"/>
            </w:pPr>
            <w:r/>
            <w:r>
              <w:rPr>
                <w:rFonts w:ascii="Times New Roman" w:hAnsi="Times New Roman" w:eastAsia="Times New Roman"/>
                <w:b w:val="0"/>
                <w:i w:val="0"/>
                <w:sz w:val="20"/>
              </w:rPr>
              <w:t>0.321</w:t>
            </w:r>
          </w:p>
        </w:tc>
        <w:tc>
          <w:tcPr>
            <w:tcW w:type="dxa" w:w="1872"/>
          </w:tcPr>
          <w:p>
            <w:pPr>
              <w:spacing w:after="20" w:before="20" w:line="240" w:lineRule="auto"/>
              <w:ind w:firstLine="0"/>
              <w:jc w:val="left"/>
            </w:pPr>
            <w:r/>
            <w:r>
              <w:rPr>
                <w:rFonts w:ascii="Times New Roman" w:hAnsi="Times New Roman" w:eastAsia="Times New Roman"/>
                <w:b w:val="0"/>
                <w:i w:val="0"/>
                <w:sz w:val="20"/>
              </w:rPr>
              <w:t>0.642</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Mean minimum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0.994 (0.977–1.012)</w:t>
            </w:r>
          </w:p>
        </w:tc>
        <w:tc>
          <w:tcPr>
            <w:tcW w:type="dxa" w:w="1872"/>
          </w:tcPr>
          <w:p>
            <w:pPr>
              <w:spacing w:after="20" w:before="20" w:line="240" w:lineRule="auto"/>
              <w:ind w:firstLine="0"/>
              <w:jc w:val="left"/>
            </w:pPr>
            <w:r/>
            <w:r>
              <w:rPr>
                <w:rFonts w:ascii="Times New Roman" w:hAnsi="Times New Roman" w:eastAsia="Times New Roman"/>
                <w:b w:val="0"/>
                <w:i w:val="0"/>
                <w:sz w:val="20"/>
              </w:rPr>
              <w:t>0.509</w:t>
            </w:r>
          </w:p>
        </w:tc>
        <w:tc>
          <w:tcPr>
            <w:tcW w:type="dxa" w:w="1872"/>
          </w:tcPr>
          <w:p>
            <w:pPr>
              <w:spacing w:after="20" w:before="20" w:line="240" w:lineRule="auto"/>
              <w:ind w:firstLine="0"/>
              <w:jc w:val="left"/>
            </w:pPr>
            <w:r/>
            <w:r>
              <w:rPr>
                <w:rFonts w:ascii="Times New Roman" w:hAnsi="Times New Roman" w:eastAsia="Times New Roman"/>
                <w:b w:val="0"/>
                <w:i w:val="0"/>
                <w:sz w:val="20"/>
              </w:rPr>
              <w:t>0.764</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1.022 (1.002–1.042)</w:t>
            </w:r>
          </w:p>
        </w:tc>
        <w:tc>
          <w:tcPr>
            <w:tcW w:type="dxa" w:w="1872"/>
          </w:tcPr>
          <w:p>
            <w:pPr>
              <w:spacing w:after="20" w:before="20" w:line="240" w:lineRule="auto"/>
              <w:ind w:firstLine="0"/>
              <w:jc w:val="left"/>
            </w:pPr>
            <w:r/>
            <w:r>
              <w:rPr>
                <w:rFonts w:ascii="Times New Roman" w:hAnsi="Times New Roman" w:eastAsia="Times New Roman"/>
                <w:b w:val="0"/>
                <w:i w:val="0"/>
                <w:sz w:val="20"/>
              </w:rPr>
              <w:t>0.032</w:t>
            </w:r>
          </w:p>
        </w:tc>
        <w:tc>
          <w:tcPr>
            <w:tcW w:type="dxa" w:w="1872"/>
          </w:tcPr>
          <w:p>
            <w:pPr>
              <w:spacing w:after="20" w:before="20" w:line="240" w:lineRule="auto"/>
              <w:ind w:firstLine="0"/>
              <w:jc w:val="left"/>
            </w:pPr>
            <w:r/>
            <w:r>
              <w:rPr>
                <w:rFonts w:ascii="Times New Roman" w:hAnsi="Times New Roman" w:eastAsia="Times New Roman"/>
                <w:b w:val="0"/>
                <w:i w:val="0"/>
                <w:sz w:val="20"/>
              </w:rPr>
              <w:t>0.192</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0.995 (0.949–1.043)</w:t>
            </w:r>
          </w:p>
        </w:tc>
        <w:tc>
          <w:tcPr>
            <w:tcW w:type="dxa" w:w="1872"/>
          </w:tcPr>
          <w:p>
            <w:pPr>
              <w:spacing w:after="20" w:before="20" w:line="240" w:lineRule="auto"/>
              <w:ind w:firstLine="0"/>
              <w:jc w:val="left"/>
            </w:pPr>
            <w:r/>
            <w:r>
              <w:rPr>
                <w:rFonts w:ascii="Times New Roman" w:hAnsi="Times New Roman" w:eastAsia="Times New Roman"/>
                <w:b w:val="0"/>
                <w:i w:val="0"/>
                <w:sz w:val="20"/>
              </w:rPr>
              <w:t>0.823</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r>
        <w:tc>
          <w:tcPr>
            <w:tcW w:type="dxa" w:w="1872"/>
          </w:tcPr>
          <w:p>
            <w:pPr>
              <w:spacing w:after="20" w:before="20" w:line="240" w:lineRule="auto"/>
              <w:ind w:firstLine="0"/>
              <w:jc w:val="left"/>
            </w:pPr>
            <w:r/>
            <w:r>
              <w:rPr>
                <w:rFonts w:ascii="Times New Roman" w:hAnsi="Times New Roman" w:eastAsia="Times New Roman"/>
                <w:b w:val="0"/>
                <w:i w:val="0"/>
                <w:sz w:val="20"/>
              </w:rPr>
              <w:t>CHD</w:t>
            </w:r>
          </w:p>
        </w:tc>
        <w:tc>
          <w:tcPr>
            <w:tcW w:type="dxa" w:w="1872"/>
          </w:tcPr>
          <w:p>
            <w:pPr>
              <w:spacing w:after="20" w:before="20" w:line="240" w:lineRule="auto"/>
              <w:ind w:firstLine="0"/>
              <w:jc w:val="left"/>
            </w:pPr>
            <w:r/>
            <w:r>
              <w:rPr>
                <w:rFonts w:ascii="Times New Roman" w:hAnsi="Times New Roman" w:eastAsia="Times New Roman"/>
                <w:b w:val="0"/>
                <w:i w:val="0"/>
                <w:sz w:val="20"/>
              </w:rPr>
              <w:t>Very hot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0.999 (0.974–1.025)</w:t>
            </w:r>
          </w:p>
        </w:tc>
        <w:tc>
          <w:tcPr>
            <w:tcW w:type="dxa" w:w="1872"/>
          </w:tcPr>
          <w:p>
            <w:pPr>
              <w:spacing w:after="20" w:before="20" w:line="240" w:lineRule="auto"/>
              <w:ind w:firstLine="0"/>
              <w:jc w:val="left"/>
            </w:pPr>
            <w:r/>
            <w:r>
              <w:rPr>
                <w:rFonts w:ascii="Times New Roman" w:hAnsi="Times New Roman" w:eastAsia="Times New Roman"/>
                <w:b w:val="0"/>
                <w:i w:val="0"/>
                <w:sz w:val="20"/>
              </w:rPr>
              <w:t>0.962</w:t>
            </w:r>
          </w:p>
        </w:tc>
        <w:tc>
          <w:tcPr>
            <w:tcW w:type="dxa" w:w="1872"/>
          </w:tcPr>
          <w:p>
            <w:pPr>
              <w:spacing w:after="20" w:before="20" w:line="240" w:lineRule="auto"/>
              <w:ind w:firstLine="0"/>
              <w:jc w:val="left"/>
            </w:pPr>
            <w:r/>
            <w:r>
              <w:rPr>
                <w:rFonts w:ascii="Times New Roman" w:hAnsi="Times New Roman" w:eastAsia="Times New Roman"/>
                <w:b w:val="0"/>
                <w:i w:val="0"/>
                <w:sz w:val="20"/>
              </w:rPr>
              <w:t>0.962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0.974 (0.947–1.002)</w:t>
            </w:r>
          </w:p>
        </w:tc>
        <w:tc>
          <w:tcPr>
            <w:tcW w:type="dxa" w:w="1872"/>
          </w:tcPr>
          <w:p>
            <w:pPr>
              <w:spacing w:after="20" w:before="20" w:line="240" w:lineRule="auto"/>
              <w:ind w:firstLine="0"/>
              <w:jc w:val="left"/>
            </w:pPr>
            <w:r/>
            <w:r>
              <w:rPr>
                <w:rFonts w:ascii="Times New Roman" w:hAnsi="Times New Roman" w:eastAsia="Times New Roman"/>
                <w:b w:val="0"/>
                <w:i w:val="0"/>
                <w:sz w:val="20"/>
              </w:rPr>
              <w:t>0.069</w:t>
            </w:r>
          </w:p>
        </w:tc>
        <w:tc>
          <w:tcPr>
            <w:tcW w:type="dxa" w:w="1872"/>
          </w:tcPr>
          <w:p>
            <w:pPr>
              <w:spacing w:after="20" w:before="20" w:line="240" w:lineRule="auto"/>
              <w:ind w:firstLine="0"/>
              <w:jc w:val="left"/>
            </w:pPr>
            <w:r/>
            <w:r>
              <w:rPr>
                <w:rFonts w:ascii="Times New Roman" w:hAnsi="Times New Roman" w:eastAsia="Times New Roman"/>
                <w:b w:val="0"/>
                <w:i w:val="0"/>
                <w:sz w:val="20"/>
              </w:rPr>
              <w:t>0.207</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maximum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0.981 (0.958–1.005)</w:t>
            </w:r>
          </w:p>
        </w:tc>
        <w:tc>
          <w:tcPr>
            <w:tcW w:type="dxa" w:w="1872"/>
          </w:tcPr>
          <w:p>
            <w:pPr>
              <w:spacing w:after="20" w:before="20" w:line="240" w:lineRule="auto"/>
              <w:ind w:firstLine="0"/>
              <w:jc w:val="left"/>
            </w:pPr>
            <w:r/>
            <w:r>
              <w:rPr>
                <w:rFonts w:ascii="Times New Roman" w:hAnsi="Times New Roman" w:eastAsia="Times New Roman"/>
                <w:b w:val="0"/>
                <w:i w:val="0"/>
                <w:sz w:val="20"/>
              </w:rPr>
              <w:t>0.113</w:t>
            </w:r>
          </w:p>
        </w:tc>
        <w:tc>
          <w:tcPr>
            <w:tcW w:type="dxa" w:w="1872"/>
          </w:tcPr>
          <w:p>
            <w:pPr>
              <w:spacing w:after="20" w:before="20" w:line="240" w:lineRule="auto"/>
              <w:ind w:firstLine="0"/>
              <w:jc w:val="left"/>
            </w:pPr>
            <w:r/>
            <w:r>
              <w:rPr>
                <w:rFonts w:ascii="Times New Roman" w:hAnsi="Times New Roman" w:eastAsia="Times New Roman"/>
                <w:b w:val="0"/>
                <w:i w:val="0"/>
                <w:sz w:val="20"/>
              </w:rPr>
              <w:t>0.272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Mean minimum temperature / 1 °C</w:t>
            </w:r>
          </w:p>
        </w:tc>
        <w:tc>
          <w:tcPr>
            <w:tcW w:type="dxa" w:w="1872"/>
          </w:tcPr>
          <w:p>
            <w:pPr>
              <w:spacing w:after="20" w:before="20" w:line="240" w:lineRule="auto"/>
              <w:ind w:firstLine="0"/>
              <w:jc w:val="left"/>
            </w:pPr>
            <w:r/>
            <w:r>
              <w:rPr>
                <w:rFonts w:ascii="Times New Roman" w:hAnsi="Times New Roman" w:eastAsia="Times New Roman"/>
                <w:b w:val="0"/>
                <w:i w:val="0"/>
                <w:sz w:val="20"/>
              </w:rPr>
              <w:t>0.973 (0.947–1.000)</w:t>
            </w:r>
          </w:p>
        </w:tc>
        <w:tc>
          <w:tcPr>
            <w:tcW w:type="dxa" w:w="1872"/>
          </w:tcPr>
          <w:p>
            <w:pPr>
              <w:spacing w:after="20" w:before="20" w:line="240" w:lineRule="auto"/>
              <w:ind w:firstLine="0"/>
              <w:jc w:val="left"/>
            </w:pPr>
            <w:r/>
            <w:r>
              <w:rPr>
                <w:rFonts w:ascii="Times New Roman" w:hAnsi="Times New Roman" w:eastAsia="Times New Roman"/>
                <w:b w:val="0"/>
                <w:i w:val="0"/>
                <w:sz w:val="20"/>
              </w:rPr>
              <w:t>0.050</w:t>
            </w:r>
          </w:p>
        </w:tc>
        <w:tc>
          <w:tcPr>
            <w:tcW w:type="dxa" w:w="1872"/>
          </w:tcPr>
          <w:p>
            <w:pPr>
              <w:spacing w:after="20" w:before="20" w:line="240" w:lineRule="auto"/>
              <w:ind w:firstLine="0"/>
              <w:jc w:val="left"/>
            </w:pPr>
            <w:r/>
            <w:r>
              <w:rPr>
                <w:rFonts w:ascii="Times New Roman" w:hAnsi="Times New Roman" w:eastAsia="Times New Roman"/>
                <w:b w:val="0"/>
                <w:i w:val="0"/>
                <w:sz w:val="20"/>
              </w:rPr>
              <w:t>0.202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1.003 (0.976–1.031)</w:t>
            </w:r>
          </w:p>
        </w:tc>
        <w:tc>
          <w:tcPr>
            <w:tcW w:type="dxa" w:w="1872"/>
          </w:tcPr>
          <w:p>
            <w:pPr>
              <w:spacing w:after="20" w:before="20" w:line="240" w:lineRule="auto"/>
              <w:ind w:firstLine="0"/>
              <w:jc w:val="left"/>
            </w:pPr>
            <w:r/>
            <w:r>
              <w:rPr>
                <w:rFonts w:ascii="Times New Roman" w:hAnsi="Times New Roman" w:eastAsia="Times New Roman"/>
                <w:b w:val="0"/>
                <w:i w:val="0"/>
                <w:sz w:val="20"/>
              </w:rPr>
              <w:t>0.825</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1.073 (1.006–1.144)</w:t>
            </w:r>
          </w:p>
        </w:tc>
        <w:tc>
          <w:tcPr>
            <w:tcW w:type="dxa" w:w="1872"/>
          </w:tcPr>
          <w:p>
            <w:pPr>
              <w:spacing w:after="20" w:before="20" w:line="240" w:lineRule="auto"/>
              <w:ind w:firstLine="0"/>
              <w:jc w:val="left"/>
            </w:pPr>
            <w:r/>
            <w:r>
              <w:rPr>
                <w:rFonts w:ascii="Times New Roman" w:hAnsi="Times New Roman" w:eastAsia="Times New Roman"/>
                <w:b w:val="0"/>
                <w:i w:val="0"/>
                <w:sz w:val="20"/>
              </w:rPr>
              <w:t>0.031</w:t>
            </w:r>
          </w:p>
        </w:tc>
        <w:tc>
          <w:tcPr>
            <w:tcW w:type="dxa" w:w="1872"/>
          </w:tcPr>
          <w:p>
            <w:pPr>
              <w:spacing w:after="20" w:before="20" w:line="240" w:lineRule="auto"/>
              <w:ind w:firstLine="0"/>
              <w:jc w:val="left"/>
            </w:pPr>
            <w:r/>
            <w:r>
              <w:rPr>
                <w:rFonts w:ascii="Times New Roman" w:hAnsi="Times New Roman" w:eastAsia="Times New Roman"/>
                <w:b w:val="0"/>
                <w:i w:val="0"/>
                <w:sz w:val="20"/>
              </w:rPr>
              <w:t>0.192</w:t>
            </w:r>
          </w:p>
        </w:tc>
      </w:tr>
      <w:tr>
        <w:tc>
          <w:tcPr>
            <w:tcW w:type="dxa" w:w="1872"/>
          </w:tcPr>
          <w:p>
            <w:pPr>
              <w:spacing w:after="20" w:before="20" w:line="240" w:lineRule="auto"/>
              <w:ind w:firstLine="0"/>
              <w:jc w:val="left"/>
            </w:pPr>
            <w:r/>
            <w:r>
              <w:rPr>
                <w:rFonts w:ascii="Times New Roman" w:hAnsi="Times New Roman" w:eastAsia="Times New Roman"/>
                <w:b w:val="0"/>
                <w:i w:val="0"/>
                <w:sz w:val="20"/>
              </w:rPr>
              <w:t>HF</w:t>
            </w:r>
          </w:p>
        </w:tc>
        <w:tc>
          <w:tcPr>
            <w:tcW w:type="dxa" w:w="1872"/>
          </w:tcPr>
          <w:p>
            <w:pPr>
              <w:spacing w:after="20" w:before="20" w:line="240" w:lineRule="auto"/>
              <w:ind w:firstLine="0"/>
              <w:jc w:val="left"/>
            </w:pPr>
            <w:r/>
            <w:r>
              <w:rPr>
                <w:rFonts w:ascii="Times New Roman" w:hAnsi="Times New Roman" w:eastAsia="Times New Roman"/>
                <w:b w:val="0"/>
                <w:i w:val="0"/>
                <w:sz w:val="20"/>
              </w:rPr>
              <w:t>Very hot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0.995 (0.963–1.028)</w:t>
            </w:r>
          </w:p>
        </w:tc>
        <w:tc>
          <w:tcPr>
            <w:tcW w:type="dxa" w:w="1872"/>
          </w:tcPr>
          <w:p>
            <w:pPr>
              <w:spacing w:after="20" w:before="20" w:line="240" w:lineRule="auto"/>
              <w:ind w:firstLine="0"/>
              <w:jc w:val="left"/>
            </w:pPr>
            <w:r/>
            <w:r>
              <w:rPr>
                <w:rFonts w:ascii="Times New Roman" w:hAnsi="Times New Roman" w:eastAsia="Times New Roman"/>
                <w:b w:val="0"/>
                <w:i w:val="0"/>
                <w:sz w:val="20"/>
              </w:rPr>
              <w:t>0.764</w:t>
            </w:r>
          </w:p>
        </w:tc>
        <w:tc>
          <w:tcPr>
            <w:tcW w:type="dxa" w:w="1872"/>
          </w:tcPr>
          <w:p>
            <w:pPr>
              <w:spacing w:after="20" w:before="20" w:line="240" w:lineRule="auto"/>
              <w:ind w:firstLine="0"/>
              <w:jc w:val="left"/>
            </w:pPr>
            <w:r/>
            <w:r>
              <w:rPr>
                <w:rFonts w:ascii="Times New Roman" w:hAnsi="Times New Roman" w:eastAsia="Times New Roman"/>
                <w:b w:val="0"/>
                <w:i w:val="0"/>
                <w:sz w:val="20"/>
              </w:rPr>
              <w:t>0.900</w:t>
            </w:r>
          </w:p>
        </w:tc>
      </w:tr>
    </w:tbl>
    <w:p/>
    <w:p>
      <w:pPr>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spacing w:after="120" w:before="160" w:line="240" w:lineRule="auto"/>
        <w:ind w:firstLine="0"/>
        <w:jc w:val="left"/>
      </w:pPr>
      <w:r>
        <w:rPr>
          <w:rFonts w:ascii="Times New Roman" w:hAnsi="Times New Roman" w:eastAsia="Times New Roman"/>
          <w:b/>
          <w:i w:val="0"/>
          <w:sz w:val="24"/>
        </w:rPr>
        <w:t>Uncertainty ladder</w:t>
      </w:r>
    </w:p>
    <w:p>
      <w:pPr>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ind w:firstLine="0"/>
              <w:jc w:val="left"/>
            </w:pPr>
            <w:r/>
            <w:r>
              <w:rPr>
                <w:rFonts w:ascii="Times New Roman" w:hAnsi="Times New Roman" w:eastAsia="Times New Roman"/>
                <w:b/>
                <w:i w:val="0"/>
                <w:sz w:val="20"/>
              </w:rPr>
              <w:t>Outcome and exposure</w:t>
            </w:r>
          </w:p>
        </w:tc>
        <w:tc>
          <w:tcPr>
            <w:tcW w:type="dxa" w:w="1872"/>
          </w:tcPr>
          <w:p>
            <w:pPr>
              <w:spacing w:after="40" w:before="40" w:line="240" w:lineRule="auto"/>
              <w:ind w:firstLine="0"/>
              <w:jc w:val="left"/>
            </w:pPr>
            <w:r/>
            <w:r>
              <w:rPr>
                <w:rFonts w:ascii="Times New Roman" w:hAnsi="Times New Roman" w:eastAsia="Times New Roman"/>
                <w:b/>
                <w:i w:val="0"/>
                <w:sz w:val="20"/>
              </w:rPr>
              <w:t>Model</w:t>
            </w:r>
          </w:p>
        </w:tc>
        <w:tc>
          <w:tcPr>
            <w:tcW w:type="dxa" w:w="1872"/>
          </w:tcPr>
          <w:p>
            <w:pPr>
              <w:spacing w:after="40" w:before="40" w:line="240" w:lineRule="auto"/>
              <w:ind w:firstLine="0"/>
              <w:jc w:val="left"/>
            </w:pPr>
            <w:r/>
            <w:r>
              <w:rPr>
                <w:rFonts w:ascii="Times New Roman" w:hAnsi="Times New Roman" w:eastAsia="Times New Roman"/>
                <w:b/>
                <w:i w:val="0"/>
                <w:sz w:val="20"/>
              </w:rPr>
              <w:t>HC1</w:t>
            </w:r>
          </w:p>
        </w:tc>
        <w:tc>
          <w:tcPr>
            <w:tcW w:type="dxa" w:w="1872"/>
          </w:tcPr>
          <w:p>
            <w:pPr>
              <w:spacing w:after="40" w:before="40" w:line="240" w:lineRule="auto"/>
              <w:ind w:firstLine="0"/>
              <w:jc w:val="left"/>
            </w:pPr>
            <w:r/>
            <w:r>
              <w:rPr>
                <w:rFonts w:ascii="Times New Roman" w:hAnsi="Times New Roman" w:eastAsia="Times New Roman"/>
                <w:b/>
                <w:i w:val="0"/>
                <w:sz w:val="20"/>
              </w:rPr>
              <w:t>NW3</w:t>
            </w:r>
          </w:p>
        </w:tc>
        <w:tc>
          <w:tcPr>
            <w:tcW w:type="dxa" w:w="1872"/>
          </w:tcPr>
          <w:p>
            <w:pPr>
              <w:spacing w:after="40" w:before="40" w:line="240" w:lineRule="auto"/>
              <w:ind w:firstLine="0"/>
              <w:jc w:val="left"/>
            </w:pPr>
            <w:r/>
            <w:r>
              <w:rPr>
                <w:rFonts w:ascii="Times New Roman" w:hAnsi="Times New Roman" w:eastAsia="Times New Roman"/>
                <w:b/>
                <w:i w:val="0"/>
                <w:sz w:val="20"/>
              </w:rPr>
              <w:t>NW6</w:t>
            </w:r>
          </w:p>
        </w:tc>
      </w:tr>
      <w:tr>
        <w:tc>
          <w:tcPr>
            <w:tcW w:type="dxa" w:w="1872"/>
          </w:tcPr>
          <w:p>
            <w:pPr>
              <w:spacing w:after="20" w:before="20" w:line="240" w:lineRule="auto"/>
              <w:ind w:firstLine="0"/>
              <w:jc w:val="left"/>
            </w:pPr>
            <w:r/>
            <w:r>
              <w:rPr>
                <w:rFonts w:ascii="Times New Roman" w:hAnsi="Times New Roman" w:eastAsia="Times New Roman"/>
                <w:b w:val="0"/>
                <w:i w:val="0"/>
                <w:sz w:val="20"/>
              </w:rPr>
              <w:t>CHD hot nights / 5 days</w:t>
            </w:r>
          </w:p>
        </w:tc>
        <w:tc>
          <w:tcPr>
            <w:tcW w:type="dxa" w:w="1872"/>
          </w:tcPr>
          <w:p>
            <w:pPr>
              <w:spacing w:after="20" w:before="20" w:line="240" w:lineRule="auto"/>
              <w:ind w:firstLine="0"/>
              <w:jc w:val="left"/>
            </w:pPr>
            <w:r/>
            <w:r>
              <w:rPr>
                <w:rFonts w:ascii="Times New Roman" w:hAnsi="Times New Roman" w:eastAsia="Times New Roman"/>
                <w:b w:val="0"/>
                <w:i w:val="0"/>
                <w:sz w:val="20"/>
              </w:rPr>
              <w:t>1.022 (0.995–1.049)</w:t>
            </w:r>
          </w:p>
        </w:tc>
        <w:tc>
          <w:tcPr>
            <w:tcW w:type="dxa" w:w="1872"/>
          </w:tcPr>
          <w:p>
            <w:pPr>
              <w:spacing w:after="20" w:before="20" w:line="240" w:lineRule="auto"/>
              <w:ind w:firstLine="0"/>
              <w:jc w:val="left"/>
            </w:pPr>
            <w:r/>
            <w:r>
              <w:rPr>
                <w:rFonts w:ascii="Times New Roman" w:hAnsi="Times New Roman" w:eastAsia="Times New Roman"/>
                <w:b w:val="0"/>
                <w:i w:val="0"/>
                <w:sz w:val="20"/>
              </w:rPr>
              <w:t>1.022 (0.997–1.047)</w:t>
            </w:r>
          </w:p>
        </w:tc>
        <w:tc>
          <w:tcPr>
            <w:tcW w:type="dxa" w:w="1872"/>
          </w:tcPr>
          <w:p>
            <w:pPr>
              <w:spacing w:after="20" w:before="20" w:line="240" w:lineRule="auto"/>
              <w:ind w:firstLine="0"/>
              <w:jc w:val="left"/>
            </w:pPr>
            <w:r/>
            <w:r>
              <w:rPr>
                <w:rFonts w:ascii="Times New Roman" w:hAnsi="Times New Roman" w:eastAsia="Times New Roman"/>
                <w:b w:val="0"/>
                <w:i w:val="0"/>
                <w:sz w:val="20"/>
              </w:rPr>
              <w:t>1.022 (1.0003–1.0439)</w:t>
            </w:r>
          </w:p>
        </w:tc>
        <w:tc>
          <w:tcPr>
            <w:tcW w:type="dxa" w:w="1872"/>
          </w:tcPr>
          <w:p>
            <w:pPr>
              <w:spacing w:after="20" w:before="20" w:line="240" w:lineRule="auto"/>
              <w:ind w:firstLine="0"/>
              <w:jc w:val="left"/>
            </w:pPr>
            <w:r/>
            <w:r>
              <w:rPr>
                <w:rFonts w:ascii="Times New Roman" w:hAnsi="Times New Roman" w:eastAsia="Times New Roman"/>
                <w:b w:val="0"/>
                <w:i w:val="0"/>
                <w:sz w:val="20"/>
              </w:rPr>
              <w:t>1.022 (1.002–1.042)</w:t>
            </w:r>
          </w:p>
        </w:tc>
      </w:tr>
      <w:tr>
        <w:tc>
          <w:tcPr>
            <w:tcW w:type="dxa" w:w="1872"/>
          </w:tcPr>
          <w:p>
            <w:pPr>
              <w:spacing w:after="20" w:before="20" w:line="240" w:lineRule="auto"/>
              <w:ind w:firstLine="0"/>
              <w:jc w:val="left"/>
            </w:pPr>
            <w:r/>
            <w:r>
              <w:rPr>
                <w:rFonts w:ascii="Times New Roman" w:hAnsi="Times New Roman" w:eastAsia="Times New Roman"/>
                <w:b w:val="0"/>
                <w:i w:val="0"/>
                <w:sz w:val="20"/>
              </w:rPr>
              <w:t>HF cold days / 5 days</w:t>
            </w:r>
          </w:p>
        </w:tc>
        <w:tc>
          <w:tcPr>
            <w:tcW w:type="dxa" w:w="1872"/>
          </w:tcPr>
          <w:p>
            <w:pPr>
              <w:spacing w:after="20" w:before="20" w:line="240" w:lineRule="auto"/>
              <w:ind w:firstLine="0"/>
              <w:jc w:val="left"/>
            </w:pPr>
            <w:r/>
            <w:r>
              <w:rPr>
                <w:rFonts w:ascii="Times New Roman" w:hAnsi="Times New Roman" w:eastAsia="Times New Roman"/>
                <w:b w:val="0"/>
                <w:i w:val="0"/>
                <w:sz w:val="20"/>
              </w:rPr>
              <w:t>1.073 (1.023–1.125)</w:t>
            </w:r>
          </w:p>
        </w:tc>
        <w:tc>
          <w:tcPr>
            <w:tcW w:type="dxa" w:w="1872"/>
          </w:tcPr>
          <w:p>
            <w:pPr>
              <w:spacing w:after="20" w:before="20" w:line="240" w:lineRule="auto"/>
              <w:ind w:firstLine="0"/>
              <w:jc w:val="left"/>
            </w:pPr>
            <w:r/>
            <w:r>
              <w:rPr>
                <w:rFonts w:ascii="Times New Roman" w:hAnsi="Times New Roman" w:eastAsia="Times New Roman"/>
                <w:b w:val="0"/>
                <w:i w:val="0"/>
                <w:sz w:val="20"/>
              </w:rPr>
              <w:t>1.073 (1.011–1.138)</w:t>
            </w:r>
          </w:p>
        </w:tc>
        <w:tc>
          <w:tcPr>
            <w:tcW w:type="dxa" w:w="1872"/>
          </w:tcPr>
          <w:p>
            <w:pPr>
              <w:spacing w:after="20" w:before="20" w:line="240" w:lineRule="auto"/>
              <w:ind w:firstLine="0"/>
              <w:jc w:val="left"/>
            </w:pPr>
            <w:r/>
            <w:r>
              <w:rPr>
                <w:rFonts w:ascii="Times New Roman" w:hAnsi="Times New Roman" w:eastAsia="Times New Roman"/>
                <w:b w:val="0"/>
                <w:i w:val="0"/>
                <w:sz w:val="20"/>
              </w:rPr>
              <w:t>1.073 (1.007–1.143)</w:t>
            </w:r>
          </w:p>
        </w:tc>
        <w:tc>
          <w:tcPr>
            <w:tcW w:type="dxa" w:w="1872"/>
          </w:tcPr>
          <w:p>
            <w:pPr>
              <w:spacing w:after="20" w:before="20" w:line="240" w:lineRule="auto"/>
              <w:ind w:firstLine="0"/>
              <w:jc w:val="left"/>
            </w:pPr>
            <w:r/>
            <w:r>
              <w:rPr>
                <w:rFonts w:ascii="Times New Roman" w:hAnsi="Times New Roman" w:eastAsia="Times New Roman"/>
                <w:b w:val="0"/>
                <w:i w:val="0"/>
                <w:sz w:val="20"/>
              </w:rPr>
              <w:t>1.073 (1.006–1.144)</w:t>
            </w:r>
          </w:p>
        </w:tc>
      </w:tr>
    </w:tbl>
    <w:p/>
    <w:p>
      <w:pPr>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The pre-2020 window moved more than those two contrasts: nine of the twelve Newey–West lag-6 intervals excluded 1 in that 84-month window, including inverse associations for all six continuous temperature contrasts (Figure 3;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spacing w:after="80" w:before="0" w:line="240" w:lineRule="auto"/>
        <w:ind w:firstLine="0"/>
        <w:jc w:val="center"/>
      </w:pPr>
      <w:r>
        <w:drawing>
          <wp:inline xmlns:a="http://schemas.openxmlformats.org/drawingml/2006/main" xmlns:pic="http://schemas.openxmlformats.org/drawingml/2006/picture">
            <wp:extent cx="5669280" cy="3023616"/>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3023616"/>
                    </a:xfrm>
                    <a:prstGeom prst="rect"/>
                  </pic:spPr>
                </pic:pic>
              </a:graphicData>
            </a:graphic>
          </wp:inline>
        </w:drawing>
      </w:r>
    </w:p>
    <w:p>
      <w:pPr>
        <w:spacing w:after="200" w:before="120" w:line="240" w:lineRule="auto"/>
        <w:ind w:firstLine="0"/>
        <w:jc w:val="left"/>
      </w:pPr>
      <w:r>
        <w:rPr>
          <w:rFonts w:ascii="Times New Roman" w:hAnsi="Times New Roman" w:eastAsia="Times New Roman"/>
          <w:b w:val="0"/>
          <w:i/>
          <w:sz w:val="22"/>
        </w:rPr>
        <w:t>Figure 3. Model 1 count ratios across trend, window, and COVID-period specifications (Newey–West lag-6 intervals). All twelve Model 1 fits are shown across nine specifications.</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spacing w:after="120" w:before="24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spacing w:after="120" w:before="24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Better-denominated and more finely resolved data are required before a thermal effect on cardiac hospitalisation in this cohort can be estimated.</w:t>
      </w:r>
    </w:p>
    <w:p>
      <w:pPr>
        <w:spacing w:after="120" w:before="24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stroke series was not available, and no stroke result is reported.</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Access to Hospital Authority data is governed by the data-sharing agreement and ethics approval.</w:t>
      </w:r>
    </w:p>
    <w:p>
      <w:pPr>
        <w:spacing w:after="120" w:before="24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4T16:04:27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4T16:04:27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4T16:04:27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4T16:04:27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4T16:04:27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4T16:04:27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