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ind w:firstLine="0"/>
        <w:jc w:val="center"/>
      </w:pPr>
      <w:r>
        <w:rPr>
          <w:rFonts w:ascii="Times New Roman" w:hAnsi="Times New Roman" w:eastAsia="Times New Roman"/>
          <w:b/>
          <w:i w:val="0"/>
          <w:sz w:val="32"/>
        </w:rPr>
        <w:t>Analysis-window sensitivity of first coronary and heart-failure hospitalisation counts across pandemic-era disruption in Hong Kong, 2013–2023</w:t>
      </w:r>
    </w:p>
    <w:p>
      <w:pPr>
        <w:keepNext w:val="0"/>
        <w:spacing w:after="160" w:before="0" w:line="240" w:lineRule="auto"/>
        <w:ind w:firstLine="0"/>
        <w:jc w:val="center"/>
      </w:pPr>
      <w:r>
        <w:rPr>
          <w:rFonts w:ascii="Times New Roman" w:hAnsi="Times New Roman" w:eastAsia="Times New Roman"/>
          <w:b w:val="0"/>
          <w:i/>
          <w:sz w:val="22"/>
        </w:rPr>
        <w:t>Running title: Window sensitivity of first CHD/HF hospitalisation</w:t>
      </w:r>
    </w:p>
    <w:p>
      <w:pPr>
        <w:keepNext w:val="0"/>
        <w:spacing w:after="160" w:before="0" w:line="240" w:lineRule="auto"/>
        <w:ind w:firstLine="0"/>
        <w:jc w:val="center"/>
      </w:pPr>
      <w:r>
        <w:rPr>
          <w:rFonts w:ascii="Times New Roman" w:hAnsi="Times New Roman" w:eastAsia="Times New Roman"/>
          <w:b w:val="0"/>
          <w:i w:val="0"/>
          <w:sz w:val="24"/>
        </w:rPr>
        <w:t>Bob Ruililin Shen</w:t>
      </w:r>
      <w:r>
        <w:rPr>
          <w:rFonts w:ascii="Times New Roman" w:hAnsi="Times New Roman" w:eastAsia="Times New Roman"/>
          <w:b w:val="0"/>
          <w:i w:val="0"/>
          <w:sz w:val="24"/>
          <w:vertAlign w:val="superscript"/>
        </w:rPr>
        <w:t>1</w:t>
      </w:r>
      <w:commentRangeStart w:id="0"/>
      <w:r>
        <w:rPr>
          <w:rFonts w:ascii="Times New Roman" w:hAnsi="Times New Roman" w:eastAsia="Times New Roman"/>
          <w:b w:val="0"/>
          <w:i w:val="0"/>
          <w:sz w:val="24"/>
        </w:rPr>
        <w:t>, Author 2</w:t>
      </w:r>
      <w:commentRangeEnd w:id="0"/>
      <w:r>
        <w:rPr>
          <w:rStyle w:val="CommentReference"/>
        </w:rPr>
        <w:commentReference w:id="0"/>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3</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4</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David Makram Bishai</w:t>
      </w:r>
      <w:r>
        <w:rPr>
          <w:rFonts w:ascii="Times New Roman" w:hAnsi="Times New Roman" w:eastAsia="Times New Roman"/>
          <w:b w:val="0"/>
          <w:i w:val="0"/>
          <w:sz w:val="24"/>
          <w:vertAlign w:val="superscript"/>
        </w:rPr>
        <w:t>1</w:t>
      </w:r>
    </w:p>
    <w:p>
      <w:pPr>
        <w:keepNext w:val="0"/>
        <w:spacing w:after="160" w:before="0" w:line="240" w:lineRule="auto"/>
        <w:ind w:firstLine="720"/>
        <w:jc w:val="both"/>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School of Public Health, Li Ka Shing Faculty of Medicine, The University of Hong Kong, Hong Kong SAR, China</w:t>
      </w:r>
    </w:p>
    <w:p>
      <w:pPr>
        <w:keepNext/>
        <w:spacing w:after="120" w:before="240" w:line="240" w:lineRule="auto"/>
        <w:ind w:firstLine="0"/>
        <w:jc w:val="left"/>
      </w:pPr>
      <w:r>
        <w:rPr>
          <w:rFonts w:ascii="Times New Roman" w:hAnsi="Times New Roman" w:eastAsia="Times New Roman"/>
          <w:b/>
          <w:i w:val="0"/>
          <w:sz w:val="28"/>
        </w:rPr>
        <w:t>Abstract</w:t>
      </w:r>
    </w:p>
    <w:p>
      <w:pPr>
        <w:keepNext w:val="0"/>
        <w:spacing w:after="160" w:before="0" w:line="240" w:lineRule="auto"/>
        <w:ind w:firstLine="0"/>
        <w:jc w:val="both"/>
      </w:pPr>
      <w:r>
        <w:rPr>
          <w:rFonts w:ascii="Times New Roman" w:hAnsi="Times New Roman" w:eastAsia="Times New Roman"/>
          <w:b/>
          <w:i w:val="0"/>
          <w:sz w:val="24"/>
        </w:rPr>
        <w:t>Background.</w:t>
      </w:r>
      <w:r>
        <w:rPr>
          <w:rFonts w:ascii="Times New Roman" w:hAnsi="Times New Roman" w:eastAsia="Times New Roman"/>
          <w:b w:val="0"/>
          <w:i w:val="0"/>
          <w:sz w:val="24"/>
        </w:rPr>
        <w:t xml:space="preserve"> Monthly counts of first hospitalisation can change across analysis windows when the population still at risk, care-seeking, and environmental conditions also change. Hong Kong’s 2013–2023 series spans both a secular decline in first coronary and heart-failure events and pandemic-era disruption. We examined the count trajectory and the sensitivity of thermal count ratios to a nested pre-2020 window.</w:t>
      </w:r>
    </w:p>
    <w:p>
      <w:pPr>
        <w:keepNext w:val="0"/>
        <w:spacing w:after="160" w:before="0" w:line="240" w:lineRule="auto"/>
        <w:ind w:firstLine="0"/>
        <w:jc w:val="both"/>
      </w:pPr>
      <w:commentRangeStart w:id="1"/>
      <w:r>
        <w:rPr>
          <w:rFonts w:ascii="Times New Roman" w:hAnsi="Times New Roman" w:eastAsia="Times New Roman"/>
          <w:b/>
          <w:i w:val="0"/>
          <w:sz w:val="24"/>
        </w:rPr>
        <w:t>Methods.</w:t>
      </w:r>
      <w:commentRangeEnd w:id="1"/>
      <w:r>
        <w:rPr>
          <w:rStyle w:val="CommentReference"/>
        </w:rPr>
        <w:commentReference w:id="1"/>
      </w:r>
      <w:r>
        <w:rPr>
          <w:rFonts w:ascii="Times New Roman" w:hAnsi="Times New Roman" w:eastAsia="Times New Roman"/>
          <w:b w:val="0"/>
          <w:i w:val="0"/>
          <w:sz w:val="24"/>
        </w:rPr>
        <w:t xml:space="preserve"> We analysed 132 territory-months (January 2013–December 2023) of monthly counts of first hospitalisation after a first diagnosis of coronary heart disease (CHD; 156,156 events) or heart failure (HF; 29,681 events) among people with type 2 diabetes and/or hypertension. Admission cause was not recorded. Model 1 is a separate negative-binomial model for each of three continuous temperature measures and the official counts of hot nights, very hot days, and cold days, with calendar-month indicators, a 4-df time spline, and an offset for the number of days in the month. Official-day exposures use </w:t>
      </w:r>
      <w:r>
        <w:rPr>
          <w:rFonts w:ascii="Times New Roman" w:hAnsi="Times New Roman" w:eastAsia="Times New Roman"/>
          <w:b w:val="0"/>
          <w:i/>
          <w:sz w:val="24"/>
        </w:rPr>
        <w:t>I(count/5)</w:t>
      </w:r>
      <w:r>
        <w:rPr>
          <w:rFonts w:ascii="Times New Roman" w:hAnsi="Times New Roman" w:eastAsia="Times New Roman"/>
          <w:b w:val="0"/>
          <w:i w:val="0"/>
          <w:sz w:val="24"/>
        </w:rPr>
        <w:t xml:space="preserve"> as a reporting scale, read per five additional such days in a month. A pre-2020 specification repeats Model 1 on January 2013–December 2019 (84 months). Intervals used model-based, HC1, and Newey–West lag-3 and lag-6 constructions. Benjamini–Hochberg </w:t>
      </w:r>
      <w:r>
        <w:rPr>
          <w:rFonts w:ascii="Times New Roman" w:hAnsi="Times New Roman" w:eastAsia="Times New Roman"/>
          <w:b w:val="0"/>
          <w:i/>
          <w:sz w:val="24"/>
        </w:rPr>
        <w:t>q</w:t>
      </w:r>
      <w:r>
        <w:rPr>
          <w:rFonts w:ascii="Times New Roman" w:hAnsi="Times New Roman" w:eastAsia="Times New Roman"/>
          <w:b w:val="0"/>
          <w:i w:val="0"/>
          <w:sz w:val="24"/>
        </w:rPr>
        <w:t>-values were computed across the twelve full-window Model 1 fits.</w:t>
      </w:r>
    </w:p>
    <w:p>
      <w:pPr>
        <w:keepNext w:val="0"/>
        <w:spacing w:after="160" w:before="0" w:line="240" w:lineRule="auto"/>
        <w:ind w:firstLine="0"/>
        <w:jc w:val="both"/>
      </w:pPr>
      <w:r>
        <w:rPr>
          <w:rFonts w:ascii="Times New Roman" w:hAnsi="Times New Roman" w:eastAsia="Times New Roman"/>
          <w:b/>
          <w:i w:val="0"/>
          <w:sz w:val="24"/>
        </w:rPr>
        <w:t>Results.</w:t>
      </w:r>
      <w:r>
        <w:rPr>
          <w:rFonts w:ascii="Times New Roman" w:hAnsi="Times New Roman" w:eastAsia="Times New Roman"/>
          <w:b w:val="0"/>
          <w:i w:val="0"/>
          <w:sz w:val="24"/>
        </w:rPr>
        <w:t xml:space="preserve"> Annual first-event totals about halved from 2013 to 2023 (CHD 23,830 to 12,323; HF 4,336 to 2,296), with a further dip in 2020 (CHD 10,237; HF 1,964), while the Census and Statistics Department population aged 35 years or older rose by 17%. Under Newey–West lag-6 reporting, the HF cold-day count ratio per five days was 1.113 (1.053–1.176) before 2020 and 1.073 (1.006–1.144) in 2013–2023. The CHD cold-day ratio was 1.036 (1.007–1.067) before 2020 and 0.995 (0.949–1.043) in the full window. The 84 pre-2020 months are contained in the full window, so these estimates are not independent and interval overlap is not a test of a window difference. No separate 2020–2023 estimate is reported. The CHD hot-night ratio was compatible with 1 before 2020 (1.011, 0.991–1.032) and was 1.022 (1.002–1.042) in the full window. Both full-window estimates have </w:t>
      </w:r>
      <w:r>
        <w:rPr>
          <w:rFonts w:ascii="Times New Roman" w:hAnsi="Times New Roman" w:eastAsia="Times New Roman"/>
          <w:b w:val="0"/>
          <w:i/>
          <w:sz w:val="24"/>
        </w:rPr>
        <w:t>q</w:t>
      </w:r>
      <w:r>
        <w:rPr>
          <w:rFonts w:ascii="Times New Roman" w:hAnsi="Times New Roman" w:eastAsia="Times New Roman"/>
          <w:b w:val="0"/>
          <w:i w:val="0"/>
          <w:sz w:val="24"/>
        </w:rPr>
        <w:t xml:space="preserve"> = 0.192. All twelve full-window </w:t>
      </w:r>
      <w:r>
        <w:rPr>
          <w:rFonts w:ascii="Times New Roman" w:hAnsi="Times New Roman" w:eastAsia="Times New Roman"/>
          <w:b w:val="0"/>
          <w:i/>
          <w:sz w:val="24"/>
        </w:rPr>
        <w:t>q</w:t>
      </w:r>
      <w:r>
        <w:rPr>
          <w:rFonts w:ascii="Times New Roman" w:hAnsi="Times New Roman" w:eastAsia="Times New Roman"/>
          <w:b w:val="0"/>
          <w:i w:val="0"/>
          <w:sz w:val="24"/>
        </w:rPr>
        <w:t>-values exceeded 0.19. Later years were hotter, whereas monthly cold-day frequency was similar.</w:t>
      </w:r>
    </w:p>
    <w:p>
      <w:pPr>
        <w:keepNext w:val="0"/>
        <w:spacing w:after="160" w:before="0" w:line="240" w:lineRule="auto"/>
        <w:ind w:firstLine="0"/>
        <w:jc w:val="both"/>
      </w:pPr>
      <w:r>
        <w:rPr>
          <w:rFonts w:ascii="Times New Roman" w:hAnsi="Times New Roman" w:eastAsia="Times New Roman"/>
          <w:b/>
          <w:i w:val="0"/>
          <w:sz w:val="24"/>
        </w:rPr>
        <w:t>Conclusions.</w:t>
      </w:r>
      <w:r>
        <w:rPr>
          <w:rFonts w:ascii="Times New Roman" w:hAnsi="Times New Roman" w:eastAsia="Times New Roman"/>
          <w:b w:val="0"/>
          <w:i w:val="0"/>
          <w:sz w:val="24"/>
        </w:rPr>
        <w:t xml:space="preserve"> The first-event trajectory and thermal point estimates were sensitive to the analysis window. The nested fits do not estimate a pre/post effect. Observed thermal encodings do not supply a complete explanation for the count trajectory. The decline in first events cannot be read as physiological improvement.</w:t>
      </w:r>
    </w:p>
    <w:p>
      <w:pPr>
        <w:keepNext w:val="0"/>
        <w:spacing w:after="160" w:before="0" w:line="240" w:lineRule="auto"/>
        <w:ind w:firstLine="0"/>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analysis window; first hospitalisation; coronary heart disease; heart failure; Hong Kong; cold days; hot nights</w:t>
      </w:r>
    </w:p>
    <w:p>
      <w:pPr>
        <w:keepNext/>
        <w:pageBreakBefore/>
        <w:spacing w:after="120" w:before="0" w:line="240" w:lineRule="auto"/>
        <w:ind w:firstLine="0"/>
        <w:jc w:val="left"/>
      </w:pPr>
      <w:r>
        <w:rPr>
          <w:rFonts w:ascii="Times New Roman" w:hAnsi="Times New Roman" w:eastAsia="Times New Roman"/>
          <w:b/>
          <w:i w:val="0"/>
          <w:sz w:val="28"/>
        </w:rPr>
        <w:t>Introduction</w:t>
      </w:r>
    </w:p>
    <w:p>
      <w:pPr>
        <w:keepNext w:val="0"/>
        <w:spacing w:after="160" w:before="0" w:line="240" w:lineRule="auto"/>
        <w:ind w:firstLine="720"/>
        <w:jc w:val="both"/>
      </w:pPr>
      <w:r>
        <w:rPr>
          <w:rFonts w:ascii="Times New Roman" w:hAnsi="Times New Roman" w:eastAsia="Times New Roman"/>
          <w:b w:val="0"/>
          <w:i w:val="0"/>
          <w:sz w:val="24"/>
        </w:rPr>
        <w:t>The analysis window is part of the question when an outcome is a monthly count of first events. The 2013–2023 Hong Kong series spans a secular decline, the 2020 disruption of hospital use, and later reopening. It also spans a closed diagnosis interval in which people leave the still-at-risk population after their first event. Care-seeking, depletion, and environmental change can therefore produce similar movements in the observed counts.</w:t>
      </w:r>
    </w:p>
    <w:p>
      <w:pPr>
        <w:keepNext w:val="0"/>
        <w:spacing w:after="160" w:before="0" w:line="240" w:lineRule="auto"/>
        <w:ind w:firstLine="720"/>
        <w:jc w:val="both"/>
      </w:pPr>
      <w:r>
        <w:rPr>
          <w:rFonts w:ascii="Times New Roman" w:hAnsi="Times New Roman" w:eastAsia="Times New Roman"/>
          <w:b w:val="0"/>
          <w:i w:val="0"/>
          <w:sz w:val="24"/>
        </w:rPr>
        <w:t>Hong Kong studies of 2020 describe fewer cardiovascular admissions, not fewer cardiovascular events. Xin et al. reported fewer public hospitalisations in 2020, including cardiovascular admissions, together with additional deaths, particularly cardiovascular deaths and deaths outside public hospitals [34]. Wai et al. found fewer emergency-department visits in January–August 2020 than in the same months of 2019, and higher 28-day mortality among those who did attend [35]. A later Wai et al. cohort of non-COVID deaths likewise paired fewer emergency visits with higher 28-day mortality [36]. Hung et al. documented self-reported avoidance of consultation in a public survey [37]. Tam et al. reported longer delays to ST-elevation myocardial infarction care in Hong Kong in early 2020 [38,39]. Those papers are utilisation and delay series. They are not this diabetes-or-hypertension first-event construction, and their counts are not imported into the tables below.</w:t>
      </w:r>
    </w:p>
    <w:p>
      <w:pPr>
        <w:keepNext w:val="0"/>
        <w:spacing w:after="160" w:before="0" w:line="240" w:lineRule="auto"/>
        <w:ind w:firstLine="720"/>
        <w:jc w:val="both"/>
      </w:pPr>
      <w:r>
        <w:rPr>
          <w:rFonts w:ascii="Times New Roman" w:hAnsi="Times New Roman" w:eastAsia="Times New Roman"/>
          <w:b w:val="0"/>
          <w:i w:val="0"/>
          <w:sz w:val="24"/>
        </w:rPr>
        <w:t>Local thermal studies answer a different question. Earlier daily analyses reported cold-related elevations in acute myocardial infarction and heart-failure admissions [1,21]. A later hot-season study distinguished the official hot-night flag from hourly nighttime excess heat [17]. Those designs estimate daily risk for cause-coded or unplanned admissions. Their coefficients do not transfer to monthly counts of first hospitalisation after a first CHD or HF diagnosis.</w:t>
      </w:r>
    </w:p>
    <w:p>
      <w:pPr>
        <w:keepNext w:val="0"/>
        <w:spacing w:after="160" w:before="0" w:line="240" w:lineRule="auto"/>
        <w:ind w:firstLine="720"/>
        <w:jc w:val="both"/>
      </w:pPr>
      <w:r>
        <w:rPr>
          <w:rFonts w:ascii="Times New Roman" w:hAnsi="Times New Roman" w:eastAsia="Times New Roman"/>
          <w:b w:val="0"/>
          <w:i w:val="0"/>
          <w:sz w:val="24"/>
        </w:rPr>
        <w:t>The later period was hotter, but it was not free of cold days. Monthly mean temperature rose from 23.83 °C in 2013–2019 to 24.30 °C in 2020–2022. Mean monthly hot nights rose from 2.74 to 4.53, whereas mean monthly cold days were similar (1.12 and 1.03). Pollution and influenza also changed across the study period [7,40]. These co-moving series prevent a single thermal encoding from being read as an explanation of the hospital-count trajectory.</w:t>
      </w:r>
    </w:p>
    <w:p>
      <w:pPr>
        <w:keepNext w:val="0"/>
        <w:spacing w:after="160" w:before="0" w:line="240" w:lineRule="auto"/>
        <w:ind w:firstLine="720"/>
        <w:jc w:val="both"/>
      </w:pPr>
      <w:r>
        <w:rPr>
          <w:rFonts w:ascii="Times New Roman" w:hAnsi="Times New Roman" w:eastAsia="Times New Roman"/>
          <w:b w:val="0"/>
          <w:i w:val="0"/>
          <w:sz w:val="24"/>
        </w:rPr>
        <w:t>We describe the first-event trajectory and compare thermal count-ratio point estimates from the full 132 months with the nested 84-month window ending in December 2019. The comparison is an analysis-window sensitivity, not a fitted pre/post effect. The complete twelve-fit Model 1 panel remains visible so that the window comparison is not presented as a selected thermal finding.</w:t>
      </w:r>
    </w:p>
    <w:p>
      <w:pPr>
        <w:keepNext/>
        <w:spacing w:after="120" w:before="240" w:line="240" w:lineRule="auto"/>
        <w:ind w:firstLine="0"/>
        <w:jc w:val="left"/>
      </w:pPr>
      <w:r>
        <w:rPr>
          <w:rFonts w:ascii="Times New Roman" w:hAnsi="Times New Roman" w:eastAsia="Times New Roman"/>
          <w:b/>
          <w:i w:val="0"/>
          <w:sz w:val="28"/>
        </w:rPr>
        <w:t>Methods</w:t>
      </w:r>
    </w:p>
    <w:p>
      <w:pPr>
        <w:keepNext w:val="0"/>
        <w:spacing w:after="160" w:before="0" w:line="240" w:lineRule="auto"/>
        <w:ind w:firstLine="720"/>
        <w:jc w:val="both"/>
      </w:pPr>
      <w:commentRangeStart w:id="2"/>
      <w:r>
        <w:rPr>
          <w:rFonts w:ascii="Times New Roman" w:hAnsi="Times New Roman" w:eastAsia="Times New Roman"/>
          <w:b w:val="0"/>
          <w:i w:val="0"/>
          <w:sz w:val="24"/>
        </w:rPr>
        <w:t>The study is an ecological territory-month time series for January 2013 through December 2023 (132 months). It cannot show effects for individual people, the cause of any admission, or day-level triggering [14]. In line with ethical requirements, the study was approved by the Institutional Review Board (IRB) of the HKU/Hospital Authority HK West Cluster (IRB reference number: UW XX-XXX).</w:t>
      </w:r>
      <w:commentRangeEnd w:id="2"/>
      <w:r>
        <w:rPr>
          <w:rStyle w:val="CommentReference"/>
        </w:rPr>
        <w:commentReference w:id="2"/>
      </w:r>
    </w:p>
    <w:p>
      <w:pPr>
        <w:keepNext/>
        <w:spacing w:after="120" w:before="160" w:line="240" w:lineRule="auto"/>
        <w:ind w:firstLine="0"/>
        <w:jc w:val="left"/>
      </w:pPr>
      <w:r>
        <w:rPr>
          <w:rFonts w:ascii="Times New Roman" w:hAnsi="Times New Roman" w:eastAsia="Times New Roman"/>
          <w:b/>
          <w:i w:val="0"/>
          <w:sz w:val="24"/>
        </w:rPr>
        <w:t>Data sources</w:t>
      </w:r>
    </w:p>
    <w:p>
      <w:pPr>
        <w:keepNext/>
        <w:spacing w:after="120" w:before="160" w:line="240" w:lineRule="auto"/>
        <w:ind w:firstLine="0"/>
        <w:jc w:val="left"/>
      </w:pPr>
      <w:r>
        <w:rPr>
          <w:rFonts w:ascii="Times New Roman" w:hAnsi="Times New Roman" w:eastAsia="Times New Roman"/>
          <w:b/>
          <w:i/>
          <w:sz w:val="24"/>
        </w:rPr>
        <w:t>Health data</w:t>
      </w:r>
    </w:p>
    <w:p>
      <w:pPr>
        <w:keepNext w:val="0"/>
        <w:spacing w:after="160" w:before="0" w:line="240" w:lineRule="auto"/>
        <w:ind w:firstLine="720"/>
        <w:jc w:val="both"/>
      </w:pPr>
      <w:commentRangeStart w:id="3"/>
      <w:commentRangeStart w:id="4"/>
      <w:r>
        <w:rPr>
          <w:rFonts w:ascii="Times New Roman" w:hAnsi="Times New Roman" w:eastAsia="Times New Roman"/>
          <w:b w:val="0"/>
          <w:i w:val="0"/>
          <w:sz w:val="24"/>
        </w:rPr>
        <w:t>The dependent variable is the monthly count of first hospitalisations after a first diagnosis of coronary heart disease (CHD), and separately of heart failure (HF), among people with type 2 diabetes and/or hypertension in Hong Kong. The cohort is people diagnosed with type 2 diabetes and/or hypertension during 2013–2023. For each person, the event is the first recorded hospitalisation after that person’s first CHD diagnosis or first HF diagnosis. Admission cause was not recorded. Monthly counts were supplied from Hospital Authority records. Age and sex strata were not included. Laboratory measurements were not in the transfer and are not analysed.</w:t>
      </w:r>
      <w:commentRangeEnd w:id="4"/>
      <w:r>
        <w:rPr>
          <w:rStyle w:val="CommentReference"/>
        </w:rPr>
        <w:commentReference w:id="4"/>
      </w:r>
      <w:commentRangeEnd w:id="3"/>
      <w:r>
        <w:rPr>
          <w:rStyle w:val="CommentReference"/>
        </w:rPr>
        <w:commentReference w:id="3"/>
      </w:r>
    </w:p>
    <w:p>
      <w:pPr>
        <w:keepNext w:val="0"/>
        <w:spacing w:after="160" w:before="0" w:line="240" w:lineRule="auto"/>
        <w:ind w:firstLine="720"/>
        <w:jc w:val="both"/>
      </w:pPr>
      <w:r>
        <w:rPr>
          <w:rFonts w:ascii="Times New Roman" w:hAnsi="Times New Roman" w:eastAsia="Times New Roman"/>
          <w:b w:val="0"/>
          <w:i w:val="0"/>
          <w:sz w:val="24"/>
        </w:rPr>
        <w:t>Monthly influenza activity from November 2013 through December 2023 was obtained from Centre for Health Protection Flu Express summaries. January–October 2013 had no influenza values. Those months were left missing and were not coded as zero. Influenza was therefore not entered in Model 1; it is a sensitivity on the 121 months with data.</w:t>
      </w:r>
    </w:p>
    <w:p>
      <w:pPr>
        <w:keepNext/>
        <w:spacing w:after="120" w:before="160" w:line="240" w:lineRule="auto"/>
        <w:ind w:firstLine="0"/>
        <w:jc w:val="left"/>
      </w:pPr>
      <w:r>
        <w:rPr>
          <w:rFonts w:ascii="Times New Roman" w:hAnsi="Times New Roman" w:eastAsia="Times New Roman"/>
          <w:b/>
          <w:i/>
          <w:sz w:val="24"/>
        </w:rPr>
        <w:t>Weather and pollutants data</w:t>
      </w:r>
    </w:p>
    <w:p>
      <w:pPr>
        <w:keepNext w:val="0"/>
        <w:spacing w:after="160" w:before="0" w:line="240" w:lineRule="auto"/>
        <w:ind w:firstLine="720"/>
        <w:jc w:val="both"/>
      </w:pPr>
      <w:commentRangeStart w:id="5"/>
      <w:r>
        <w:rPr>
          <w:rFonts w:ascii="Times New Roman" w:hAnsi="Times New Roman" w:eastAsia="Times New Roman"/>
          <w:b w:val="0"/>
          <w:i w:val="0"/>
          <w:sz w:val="24"/>
        </w:rPr>
        <w:t>Meteorological data was obtained from the HKO. The monthly variables included: temperature (mean, minimum, maximum), relative humidity, total rainfall, the number of hot nights (</w:t>
      </w:r>
      <w:commentRangeEnd w:id="5"/>
      <w:r>
        <w:rPr>
          <w:rStyle w:val="CommentReference"/>
        </w:rPr>
        <w:commentReference w:id="5"/>
      </w:r>
      <w:r>
        <w:rPr>
          <w:rFonts w:ascii="Times New Roman" w:hAnsi="Times New Roman" w:eastAsia="Times New Roman"/>
          <w:b w:val="0"/>
          <w:i w:val="0"/>
          <w:sz w:val="24"/>
        </w:rPr>
        <w:t>T</w:t>
      </w:r>
      <w:r>
        <w:rPr>
          <w:rFonts w:ascii="Times New Roman" w:hAnsi="Times New Roman" w:eastAsia="Times New Roman"/>
          <w:b w:val="0"/>
          <w:i w:val="0"/>
          <w:sz w:val="24"/>
          <w:vertAlign w:val="subscript"/>
        </w:rPr>
        <w:t>min</w:t>
      </w:r>
      <w:r>
        <w:rPr>
          <w:rFonts w:ascii="Times New Roman" w:hAnsi="Times New Roman" w:eastAsia="Times New Roman"/>
          <w:b w:val="0"/>
          <w:i w:val="0"/>
          <w:sz w:val="24"/>
        </w:rPr>
        <w:t xml:space="preserve"> ≥ 28°C), the number of very hot days (</w:t>
      </w:r>
      <w:r>
        <w:rPr>
          <w:rFonts w:ascii="Times New Roman" w:hAnsi="Times New Roman" w:eastAsia="Times New Roman"/>
          <w:b w:val="0"/>
          <w:i w:val="0"/>
          <w:sz w:val="24"/>
        </w:rPr>
        <w:t>T</w:t>
      </w:r>
      <w:r>
        <w:rPr>
          <w:rFonts w:ascii="Times New Roman" w:hAnsi="Times New Roman" w:eastAsia="Times New Roman"/>
          <w:b w:val="0"/>
          <w:i w:val="0"/>
          <w:sz w:val="24"/>
          <w:vertAlign w:val="subscript"/>
        </w:rPr>
        <w:t>max</w:t>
      </w:r>
      <w:r>
        <w:rPr>
          <w:rFonts w:ascii="Times New Roman" w:hAnsi="Times New Roman" w:eastAsia="Times New Roman"/>
          <w:b w:val="0"/>
          <w:i w:val="0"/>
          <w:sz w:val="24"/>
        </w:rPr>
        <w:t xml:space="preserve"> ≥ 33°C), the number of extremely hot days (</w:t>
      </w:r>
      <w:r>
        <w:rPr>
          <w:rFonts w:ascii="Times New Roman" w:hAnsi="Times New Roman" w:eastAsia="Times New Roman"/>
          <w:b w:val="0"/>
          <w:i w:val="0"/>
          <w:sz w:val="24"/>
        </w:rPr>
        <w:t>T</w:t>
      </w:r>
      <w:r>
        <w:rPr>
          <w:rFonts w:ascii="Times New Roman" w:hAnsi="Times New Roman" w:eastAsia="Times New Roman"/>
          <w:b w:val="0"/>
          <w:i w:val="0"/>
          <w:sz w:val="24"/>
          <w:vertAlign w:val="subscript"/>
        </w:rPr>
        <w:t>max</w:t>
      </w:r>
      <w:r>
        <w:rPr>
          <w:rFonts w:ascii="Times New Roman" w:hAnsi="Times New Roman" w:eastAsia="Times New Roman"/>
          <w:b w:val="0"/>
          <w:i w:val="0"/>
          <w:sz w:val="24"/>
        </w:rPr>
        <w:t xml:space="preserve"> ≥ 35°C), and the number of cold days (</w:t>
      </w:r>
      <w:r>
        <w:rPr>
          <w:rFonts w:ascii="Times New Roman" w:hAnsi="Times New Roman" w:eastAsia="Times New Roman"/>
          <w:b w:val="0"/>
          <w:i w:val="0"/>
          <w:sz w:val="24"/>
        </w:rPr>
        <w:t>T</w:t>
      </w:r>
      <w:r>
        <w:rPr>
          <w:rFonts w:ascii="Times New Roman" w:hAnsi="Times New Roman" w:eastAsia="Times New Roman"/>
          <w:b w:val="0"/>
          <w:i w:val="0"/>
          <w:sz w:val="24"/>
          <w:vertAlign w:val="subscript"/>
        </w:rPr>
        <w:t>min</w:t>
      </w:r>
      <w:r>
        <w:rPr>
          <w:rFonts w:ascii="Times New Roman" w:hAnsi="Times New Roman" w:eastAsia="Times New Roman"/>
          <w:b w:val="0"/>
          <w:i w:val="0"/>
          <w:sz w:val="24"/>
        </w:rPr>
        <w:t xml:space="preserve"> ≤ 12°C). Monthly mean pollutant levels for nitrogen dioxide (</w:t>
      </w:r>
      <w:r>
        <w:rPr>
          <w:rFonts w:ascii="Times New Roman" w:hAnsi="Times New Roman" w:eastAsia="Times New Roman"/>
          <w:b w:val="0"/>
          <w:i w:val="0"/>
          <w:sz w:val="24"/>
        </w:rPr>
        <w:t>NO</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 sulfur dioxide (</w:t>
      </w:r>
      <w:r>
        <w:rPr>
          <w:rFonts w:ascii="Times New Roman" w:hAnsi="Times New Roman" w:eastAsia="Times New Roman"/>
          <w:b w:val="0"/>
          <w:i w:val="0"/>
          <w:sz w:val="24"/>
        </w:rPr>
        <w:t>SO</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 and ozone (</w:t>
      </w:r>
      <w:r>
        <w:rPr>
          <w:rFonts w:ascii="Times New Roman" w:hAnsi="Times New Roman" w:eastAsia="Times New Roman"/>
          <w:b w:val="0"/>
          <w:i w:val="0"/>
          <w:sz w:val="24"/>
        </w:rPr>
        <w:t>O</w:t>
      </w:r>
      <w:r>
        <w:rPr>
          <w:rFonts w:ascii="Times New Roman" w:hAnsi="Times New Roman" w:eastAsia="Times New Roman"/>
          <w:b w:val="0"/>
          <w:i w:val="0"/>
          <w:sz w:val="24"/>
          <w:vertAlign w:val="subscript"/>
        </w:rPr>
        <w:t>3</w:t>
      </w:r>
      <w:r>
        <w:rPr>
          <w:rFonts w:ascii="Times New Roman" w:hAnsi="Times New Roman" w:eastAsia="Times New Roman"/>
          <w:b w:val="0"/>
          <w:i w:val="0"/>
          <w:sz w:val="24"/>
        </w:rPr>
        <w:t>) were obtained from the Hong Kong Environmental Protection Department (EPD). All monthly data were derived by taking the average of daily data in each calendar month.</w:t>
      </w:r>
    </w:p>
    <w:p>
      <w:pPr>
        <w:keepNext w:val="0"/>
        <w:spacing w:after="160" w:before="0" w:line="240" w:lineRule="auto"/>
        <w:ind w:firstLine="720"/>
        <w:jc w:val="both"/>
      </w:pPr>
      <w:r>
        <w:rPr>
          <w:rFonts w:ascii="Times New Roman" w:hAnsi="Times New Roman" w:eastAsia="Times New Roman"/>
          <w:b w:val="0"/>
          <w:i w:val="0"/>
          <w:sz w:val="24"/>
        </w:rPr>
        <w:t>A station-month entered a pollutant mean only when at least 75% of expected observations were present. Missing measurements were not coded as zero. Territory-wide monthly pollutant concentrations are unweighted means of general EPD stations. Roadside monitors were not used for those means. Fine particulate matter (</w:t>
      </w:r>
      <w:r>
        <w:rPr>
          <w:rFonts w:ascii="Times New Roman" w:hAnsi="Times New Roman" w:eastAsia="Times New Roman"/>
          <w:b w:val="0"/>
          <w:i w:val="0"/>
          <w:sz w:val="24"/>
        </w:rPr>
        <w:t>PM</w:t>
      </w:r>
      <w:r>
        <w:rPr>
          <w:rFonts w:ascii="Times New Roman" w:hAnsi="Times New Roman" w:eastAsia="Times New Roman"/>
          <w:b w:val="0"/>
          <w:i w:val="0"/>
          <w:sz w:val="24"/>
          <w:vertAlign w:val="subscript"/>
        </w:rPr>
        <w:t>2.5</w:t>
      </w:r>
      <w:r>
        <w:rPr>
          <w:rFonts w:ascii="Times New Roman" w:hAnsi="Times New Roman" w:eastAsia="Times New Roman"/>
          <w:b w:val="0"/>
          <w:i w:val="0"/>
          <w:sz w:val="24"/>
        </w:rPr>
        <w:t>) from the same general stations was assembled for sensitivity analysis only.</w:t>
      </w:r>
    </w:p>
    <w:p>
      <w:pPr>
        <w:keepNext/>
        <w:spacing w:after="120" w:before="160" w:line="240" w:lineRule="auto"/>
        <w:ind w:firstLine="0"/>
        <w:jc w:val="left"/>
      </w:pPr>
      <w:r>
        <w:rPr>
          <w:rFonts w:ascii="Times New Roman" w:hAnsi="Times New Roman" w:eastAsia="Times New Roman"/>
          <w:b/>
          <w:i/>
          <w:sz w:val="24"/>
        </w:rPr>
        <w:t>Population</w:t>
      </w:r>
    </w:p>
    <w:p>
      <w:pPr>
        <w:keepNext w:val="0"/>
        <w:spacing w:after="160" w:before="0" w:line="240" w:lineRule="auto"/>
        <w:ind w:firstLine="720"/>
        <w:jc w:val="both"/>
      </w:pPr>
      <w:r>
        <w:rPr>
          <w:rFonts w:ascii="Times New Roman" w:hAnsi="Times New Roman" w:eastAsia="Times New Roman"/>
          <w:b w:val="0"/>
          <w:i w:val="0"/>
          <w:sz w:val="24"/>
        </w:rPr>
        <w:t>Mid-year age- and sex-specific population estimates from the Census and Statistics Department (Table 110-01001) were interpolated to month mid-points [8]. Those figures describe the general population, not the diabetes or hypertension group still at risk of a first CHD or HF hospitalisation. Model 1 therefore uses the number of days in the month as the offset and is read as a monthly count ratio, not as a cohort incidence rate [14]. A population × days offset is a sensitivity only. It does not turn the estimate into cohort incidence.</w:t>
      </w:r>
    </w:p>
    <w:p>
      <w:pPr>
        <w:keepNext/>
        <w:spacing w:after="120" w:before="160" w:line="240" w:lineRule="auto"/>
        <w:ind w:firstLine="0"/>
        <w:jc w:val="left"/>
      </w:pPr>
      <w:r>
        <w:rPr>
          <w:rFonts w:ascii="Times New Roman" w:hAnsi="Times New Roman" w:eastAsia="Times New Roman"/>
          <w:b/>
          <w:i w:val="0"/>
          <w:sz w:val="24"/>
        </w:rPr>
        <w:t>Statistical analysis</w:t>
      </w:r>
    </w:p>
    <w:p>
      <w:pPr>
        <w:keepNext w:val="0"/>
        <w:spacing w:after="160" w:before="0" w:line="240" w:lineRule="auto"/>
        <w:ind w:firstLine="720"/>
        <w:jc w:val="both"/>
      </w:pPr>
      <w:r>
        <w:rPr>
          <w:rFonts w:ascii="Times New Roman" w:hAnsi="Times New Roman" w:eastAsia="Times New Roman"/>
          <w:b w:val="0"/>
          <w:i w:val="0"/>
          <w:sz w:val="24"/>
        </w:rPr>
        <w:t xml:space="preserve">Let </w:t>
      </w:r>
      <w:r>
        <w:rPr>
          <w:rFonts w:ascii="Times New Roman" w:hAnsi="Times New Roman" w:eastAsia="Times New Roman"/>
          <w:b w:val="0"/>
          <w:i/>
          <w:sz w:val="24"/>
        </w:rPr>
        <w:t>Y_t</w:t>
      </w:r>
      <w:r>
        <w:rPr>
          <w:rFonts w:ascii="Times New Roman" w:hAnsi="Times New Roman" w:eastAsia="Times New Roman"/>
          <w:b w:val="0"/>
          <w:i w:val="0"/>
          <w:sz w:val="24"/>
        </w:rPr>
        <w:t xml:space="preserve"> be the hospital count in month </w:t>
      </w:r>
      <w:r>
        <w:rPr>
          <w:rFonts w:ascii="Times New Roman" w:hAnsi="Times New Roman" w:eastAsia="Times New Roman"/>
          <w:b w:val="0"/>
          <w:i/>
          <w:sz w:val="24"/>
        </w:rPr>
        <w:t>t</w:t>
      </w:r>
      <w:r>
        <w:rPr>
          <w:rFonts w:ascii="Times New Roman" w:hAnsi="Times New Roman" w:eastAsia="Times New Roman"/>
          <w:b w:val="0"/>
          <w:i w:val="0"/>
          <w:sz w:val="24"/>
        </w:rPr>
        <w:t>. Model 1 is a negative-binomial regression [10]:</w:t>
      </w:r>
    </w:p>
    <w:p>
      <w:pPr>
        <w:spacing w:after="160" w:before="0" w:line="240" w:lineRule="auto"/>
        <w:ind w:firstLine="0"/>
        <w:jc w:val="center"/>
      </w:pPr>
      <w:r>
        <w:rPr>
          <w:rFonts w:ascii="Times New Roman" w:hAnsi="Times New Roman" w:eastAsia="Times New Roman"/>
          <w:b w:val="0"/>
          <w:i/>
          <w:sz w:val="24"/>
        </w:rPr>
        <w:t>log E(Yₜ) = log(dₜ) + α + βXₜ + Σₘ₌₂¹² γₘ I(monthₜ = m) + s(t; 4 df).    (1)</w:t>
      </w:r>
    </w:p>
    <w:p>
      <w:pPr>
        <w:keepNext w:val="0"/>
        <w:spacing w:after="160" w:before="0" w:line="240" w:lineRule="auto"/>
        <w:ind w:firstLine="720"/>
        <w:jc w:val="both"/>
      </w:pPr>
      <w:r>
        <w:rPr>
          <w:rFonts w:ascii="Times New Roman" w:hAnsi="Times New Roman" w:eastAsia="Times New Roman"/>
          <w:b w:val="0"/>
          <w:i w:val="0"/>
          <w:sz w:val="24"/>
        </w:rPr>
        <w:t xml:space="preserve">Here </w:t>
      </w:r>
      <w:r>
        <w:rPr>
          <w:rFonts w:ascii="Times New Roman" w:hAnsi="Times New Roman" w:eastAsia="Times New Roman"/>
          <w:b w:val="0"/>
          <w:i/>
          <w:sz w:val="24"/>
        </w:rPr>
        <w:t>d_t</w:t>
      </w:r>
      <w:r>
        <w:rPr>
          <w:rFonts w:ascii="Times New Roman" w:hAnsi="Times New Roman" w:eastAsia="Times New Roman"/>
          <w:b w:val="0"/>
          <w:i w:val="0"/>
          <w:sz w:val="24"/>
        </w:rPr>
        <w:t xml:space="preserve"> is the number of days in month </w:t>
      </w:r>
      <w:r>
        <w:rPr>
          <w:rFonts w:ascii="Times New Roman" w:hAnsi="Times New Roman" w:eastAsia="Times New Roman"/>
          <w:b w:val="0"/>
          <w:i/>
          <w:sz w:val="24"/>
        </w:rPr>
        <w:t>t</w:t>
      </w:r>
      <w:r>
        <w:rPr>
          <w:rFonts w:ascii="Times New Roman" w:hAnsi="Times New Roman" w:eastAsia="Times New Roman"/>
          <w:b w:val="0"/>
          <w:i w:val="0"/>
          <w:sz w:val="24"/>
        </w:rPr>
        <w:t xml:space="preserve">; </w:t>
      </w:r>
      <w:r>
        <w:rPr>
          <w:rFonts w:ascii="Times New Roman" w:hAnsi="Times New Roman" w:eastAsia="Times New Roman"/>
          <w:b w:val="0"/>
          <w:i/>
          <w:sz w:val="24"/>
        </w:rPr>
        <w:t>alpha</w:t>
      </w:r>
      <w:r>
        <w:rPr>
          <w:rFonts w:ascii="Times New Roman" w:hAnsi="Times New Roman" w:eastAsia="Times New Roman"/>
          <w:b w:val="0"/>
          <w:i w:val="0"/>
          <w:sz w:val="24"/>
        </w:rPr>
        <w:t xml:space="preserve"> is the intercept; </w:t>
      </w:r>
      <w:r>
        <w:rPr>
          <w:rFonts w:ascii="Times New Roman" w:hAnsi="Times New Roman" w:eastAsia="Times New Roman"/>
          <w:b w:val="0"/>
          <w:i/>
          <w:sz w:val="24"/>
        </w:rPr>
        <w:t>X_t</w:t>
      </w:r>
      <w:r>
        <w:rPr>
          <w:rFonts w:ascii="Times New Roman" w:hAnsi="Times New Roman" w:eastAsia="Times New Roman"/>
          <w:b w:val="0"/>
          <w:i w:val="0"/>
          <w:sz w:val="24"/>
        </w:rPr>
        <w:t xml:space="preserve"> is one weather variable; </w:t>
      </w:r>
      <w:r>
        <w:rPr>
          <w:rFonts w:ascii="Times New Roman" w:hAnsi="Times New Roman" w:eastAsia="Times New Roman"/>
          <w:b w:val="0"/>
          <w:i/>
          <w:sz w:val="24"/>
        </w:rPr>
        <w:t>beta</w:t>
      </w:r>
      <w:r>
        <w:rPr>
          <w:rFonts w:ascii="Times New Roman" w:hAnsi="Times New Roman" w:eastAsia="Times New Roman"/>
          <w:b w:val="0"/>
          <w:i w:val="0"/>
          <w:sz w:val="24"/>
        </w:rPr>
        <w:t xml:space="preserve"> is the coefficient for that weather variable; </w:t>
      </w:r>
      <w:r>
        <w:rPr>
          <w:rFonts w:ascii="Times New Roman" w:hAnsi="Times New Roman" w:eastAsia="Times New Roman"/>
          <w:b w:val="0"/>
          <w:i/>
          <w:sz w:val="24"/>
        </w:rPr>
        <w:t>I(month_t = m)</w:t>
      </w:r>
      <w:r>
        <w:rPr>
          <w:rFonts w:ascii="Times New Roman" w:hAnsi="Times New Roman" w:eastAsia="Times New Roman"/>
          <w:b w:val="0"/>
          <w:i w:val="0"/>
          <w:sz w:val="24"/>
        </w:rPr>
        <w:t xml:space="preserve"> is 1 if month </w:t>
      </w:r>
      <w:r>
        <w:rPr>
          <w:rFonts w:ascii="Times New Roman" w:hAnsi="Times New Roman" w:eastAsia="Times New Roman"/>
          <w:b w:val="0"/>
          <w:i/>
          <w:sz w:val="24"/>
        </w:rPr>
        <w:t>t</w:t>
      </w:r>
      <w:r>
        <w:rPr>
          <w:rFonts w:ascii="Times New Roman" w:hAnsi="Times New Roman" w:eastAsia="Times New Roman"/>
          <w:b w:val="0"/>
          <w:i w:val="0"/>
          <w:sz w:val="24"/>
        </w:rPr>
        <w:t xml:space="preserve"> is calendar month </w:t>
      </w:r>
      <w:r>
        <w:rPr>
          <w:rFonts w:ascii="Times New Roman" w:hAnsi="Times New Roman" w:eastAsia="Times New Roman"/>
          <w:b w:val="0"/>
          <w:i/>
          <w:sz w:val="24"/>
        </w:rPr>
        <w:t>m</w:t>
      </w:r>
      <w:r>
        <w:rPr>
          <w:rFonts w:ascii="Times New Roman" w:hAnsi="Times New Roman" w:eastAsia="Times New Roman"/>
          <w:b w:val="0"/>
          <w:i w:val="0"/>
          <w:sz w:val="24"/>
        </w:rPr>
        <w:t xml:space="preserve"> and 0 otherwise (January is the reference month); </w:t>
      </w:r>
      <w:r>
        <w:rPr>
          <w:rFonts w:ascii="Times New Roman" w:hAnsi="Times New Roman" w:eastAsia="Times New Roman"/>
          <w:b w:val="0"/>
          <w:i/>
          <w:sz w:val="24"/>
        </w:rPr>
        <w:t>gamma_m</w:t>
      </w:r>
      <w:r>
        <w:rPr>
          <w:rFonts w:ascii="Times New Roman" w:hAnsi="Times New Roman" w:eastAsia="Times New Roman"/>
          <w:b w:val="0"/>
          <w:i w:val="0"/>
          <w:sz w:val="24"/>
        </w:rPr>
        <w:t xml:space="preserve"> is how much higher or lower month </w:t>
      </w:r>
      <w:r>
        <w:rPr>
          <w:rFonts w:ascii="Times New Roman" w:hAnsi="Times New Roman" w:eastAsia="Times New Roman"/>
          <w:b w:val="0"/>
          <w:i/>
          <w:sz w:val="24"/>
        </w:rPr>
        <w:t>m</w:t>
      </w:r>
      <w:r>
        <w:rPr>
          <w:rFonts w:ascii="Times New Roman" w:hAnsi="Times New Roman" w:eastAsia="Times New Roman"/>
          <w:b w:val="0"/>
          <w:i w:val="0"/>
          <w:sz w:val="24"/>
        </w:rPr>
        <w:t xml:space="preserve"> is than January; and </w:t>
      </w:r>
      <w:r>
        <w:rPr>
          <w:rFonts w:ascii="Times New Roman" w:hAnsi="Times New Roman" w:eastAsia="Times New Roman"/>
          <w:b w:val="0"/>
          <w:i/>
          <w:sz w:val="24"/>
        </w:rPr>
        <w:t>s(t; 4~df)</w:t>
      </w:r>
      <w:r>
        <w:rPr>
          <w:rFonts w:ascii="Times New Roman" w:hAnsi="Times New Roman" w:eastAsia="Times New Roman"/>
          <w:b w:val="0"/>
          <w:i w:val="0"/>
          <w:sz w:val="24"/>
        </w:rPr>
        <w:t xml:space="preserve"> is a smooth curve of time with four degrees of freedom, used to capture slow change over the eleven years. In words, the left side is the log of the expected hospital count. The estimate we report is </w:t>
      </w:r>
      <w:r>
        <w:rPr>
          <w:rFonts w:ascii="Times New Roman" w:hAnsi="Times New Roman" w:eastAsia="Times New Roman"/>
          <w:b w:val="0"/>
          <w:i/>
          <w:sz w:val="24"/>
        </w:rPr>
        <w:t>e^{beta}</w:t>
      </w:r>
      <w:r>
        <w:rPr>
          <w:rFonts w:ascii="Times New Roman" w:hAnsi="Times New Roman" w:eastAsia="Times New Roman"/>
          <w:b w:val="0"/>
          <w:i w:val="0"/>
          <w:sz w:val="24"/>
        </w:rPr>
        <w:t>, the ratio of expected monthly counts for a 1 °C change in a temperature variable or a five-day change in an official day count.</w:t>
      </w:r>
    </w:p>
    <w:p>
      <w:pPr>
        <w:keepNext w:val="0"/>
        <w:spacing w:after="160" w:before="0" w:line="240" w:lineRule="auto"/>
        <w:ind w:firstLine="720"/>
        <w:jc w:val="both"/>
      </w:pPr>
      <w:r>
        <w:rPr>
          <w:rFonts w:ascii="Times New Roman" w:hAnsi="Times New Roman" w:eastAsia="Times New Roman"/>
          <w:b w:val="0"/>
          <w:i w:val="0"/>
          <w:sz w:val="24"/>
        </w:rPr>
        <w:t>We fitted Model 1 twelve times: six weather variables × two diagnoses. The six weather variables are monthly mean temperature, monthly mean daily maximum temperature, monthly mean daily minimum temperature, hot nights, very hot days, and cold days. Extreme-day counts were divided by 5 so that each estimate is the change associated with five extra such days in that month, rather than with one extra day. Five days is a convenient scale, not a new weather threshold and not a consecutive-duration rule. The official count of extremely hot days (</w:t>
      </w:r>
      <w:r>
        <w:rPr>
          <w:rFonts w:ascii="Times New Roman" w:hAnsi="Times New Roman" w:eastAsia="Times New Roman"/>
          <w:b w:val="0"/>
          <w:i w:val="0"/>
          <w:sz w:val="24"/>
        </w:rPr>
        <w:t>T</w:t>
      </w:r>
      <w:r>
        <w:rPr>
          <w:rFonts w:ascii="Times New Roman" w:hAnsi="Times New Roman" w:eastAsia="Times New Roman"/>
          <w:b w:val="0"/>
          <w:i w:val="0"/>
          <w:sz w:val="24"/>
          <w:vertAlign w:val="subscript"/>
        </w:rPr>
        <w:t>max</w:t>
      </w:r>
      <w:r>
        <w:rPr>
          <w:rFonts w:ascii="Times New Roman" w:hAnsi="Times New Roman" w:eastAsia="Times New Roman"/>
          <w:b w:val="0"/>
          <w:i w:val="0"/>
          <w:sz w:val="24"/>
        </w:rPr>
        <w:t xml:space="preserve"> ≥ 35°C) was obtained with the other monthly weather variables and was not used as a temperature variable in Model 1. Each Model 1 fit contains one temperature variable. Temperature terms are not entered together in Model 1. We used a negative-binomial model because monthly counts can vary more than a Poisson model permits. A quasi-Poisson model is a sensitivity.</w:t>
      </w:r>
    </w:p>
    <w:p>
      <w:pPr>
        <w:keepNext w:val="0"/>
        <w:spacing w:after="160" w:before="0" w:line="240" w:lineRule="auto"/>
        <w:ind w:firstLine="720"/>
        <w:jc w:val="both"/>
      </w:pPr>
      <w:r>
        <w:rPr>
          <w:rFonts w:ascii="Times New Roman" w:hAnsi="Times New Roman" w:eastAsia="Times New Roman"/>
          <w:b w:val="0"/>
          <w:i w:val="0"/>
          <w:sz w:val="24"/>
        </w:rPr>
        <w:t xml:space="preserve">We report 95% confidence intervals in four ways: the model’s own standard errors, HC1, Newey–West with a lag of 3 months, and Newey–West with a lag of 6 months [19]. The main reported interval is Newey–West with lag 6. Monthly hospital counts can be correlated from one month to the next; Newey–West intervals allow for that. A </w:t>
      </w:r>
      <w:r>
        <w:rPr>
          <w:rFonts w:ascii="Times New Roman" w:hAnsi="Times New Roman" w:eastAsia="Times New Roman"/>
          <w:b w:val="0"/>
          <w:i/>
          <w:sz w:val="24"/>
        </w:rPr>
        <w:t>q</w:t>
      </w:r>
      <w:r>
        <w:rPr>
          <w:rFonts w:ascii="Times New Roman" w:hAnsi="Times New Roman" w:eastAsia="Times New Roman"/>
          <w:b w:val="0"/>
          <w:i w:val="0"/>
          <w:sz w:val="24"/>
        </w:rPr>
        <w:t xml:space="preserve">-value is a </w:t>
      </w:r>
      <w:r>
        <w:rPr>
          <w:rFonts w:ascii="Times New Roman" w:hAnsi="Times New Roman" w:eastAsia="Times New Roman"/>
          <w:b w:val="0"/>
          <w:i/>
          <w:sz w:val="24"/>
        </w:rPr>
        <w:t>p</w:t>
      </w:r>
      <w:r>
        <w:rPr>
          <w:rFonts w:ascii="Times New Roman" w:hAnsi="Times New Roman" w:eastAsia="Times New Roman"/>
          <w:b w:val="0"/>
          <w:i w:val="0"/>
          <w:sz w:val="24"/>
        </w:rPr>
        <w:t xml:space="preserve">-value adjusted for testing the twelve Model 1 fits together [20]. Multiplicity-adjusted </w:t>
      </w:r>
      <w:r>
        <w:rPr>
          <w:rFonts w:ascii="Times New Roman" w:hAnsi="Times New Roman" w:eastAsia="Times New Roman"/>
          <w:b w:val="0"/>
          <w:i/>
          <w:sz w:val="24"/>
        </w:rPr>
        <w:t>q</w:t>
      </w:r>
      <w:r>
        <w:rPr>
          <w:rFonts w:ascii="Times New Roman" w:hAnsi="Times New Roman" w:eastAsia="Times New Roman"/>
          <w:b w:val="0"/>
          <w:i w:val="0"/>
          <w:sz w:val="24"/>
        </w:rPr>
        <w:t>-values were computed on the full 132-month window only.</w:t>
      </w:r>
    </w:p>
    <w:p>
      <w:pPr>
        <w:keepNext w:val="0"/>
        <w:spacing w:after="160" w:before="0" w:line="240" w:lineRule="auto"/>
        <w:ind w:firstLine="720"/>
        <w:jc w:val="both"/>
      </w:pPr>
      <w:r>
        <w:rPr>
          <w:rFonts w:ascii="Times New Roman" w:hAnsi="Times New Roman" w:eastAsia="Times New Roman"/>
          <w:b w:val="0"/>
          <w:i w:val="0"/>
          <w:sz w:val="24"/>
        </w:rPr>
        <w:t>The pre-2020 specification repeats equation (1) on January 2013–December 2019 (84 months). It is a labelled window check, not a 48-month post-2020 primary and not a confirmatory re-fit. COVID-period indicators on the full sample (through January 2020; February 2020–December 2021; January–April 2022; May–December 2022; and from January 2023) are a further labelled specification. They do not replace Model 1, and they do not create a post-only table.</w:t>
      </w:r>
    </w:p>
    <w:p>
      <w:pPr>
        <w:keepNext w:val="0"/>
        <w:spacing w:after="160" w:before="0" w:line="240" w:lineRule="auto"/>
        <w:ind w:firstLine="720"/>
        <w:jc w:val="both"/>
      </w:pPr>
      <w:commentRangeStart w:id="6"/>
      <w:r>
        <w:rPr>
          <w:rFonts w:ascii="Times New Roman" w:hAnsi="Times New Roman" w:eastAsia="Times New Roman"/>
          <w:b w:val="0"/>
          <w:i w:val="0"/>
          <w:sz w:val="24"/>
        </w:rPr>
        <w:t>Model 2 additionally adds monthly mean relative humidity [21] and monthly total rainfall [22] to Model 1. Model 3 counts, for each month, the days whose daily mean temperature was above or below the historical average for that day of the year. Model 2 and Model 3 are specified and are not reported as headline estimates. No Model 3 health coefficients are reported.</w:t>
      </w:r>
      <w:commentRangeEnd w:id="6"/>
      <w:r>
        <w:rPr>
          <w:rStyle w:val="CommentReference"/>
        </w:rPr>
        <w:commentReference w:id="6"/>
      </w:r>
    </w:p>
    <w:p>
      <w:pPr>
        <w:keepNext/>
        <w:spacing w:after="120" w:before="160" w:line="240" w:lineRule="auto"/>
        <w:ind w:firstLine="0"/>
        <w:jc w:val="left"/>
      </w:pPr>
      <w:r>
        <w:rPr>
          <w:rFonts w:ascii="Times New Roman" w:hAnsi="Times New Roman" w:eastAsia="Times New Roman"/>
          <w:b/>
          <w:i w:val="0"/>
          <w:sz w:val="24"/>
        </w:rPr>
        <w:t>Sensitivity analysis</w:t>
      </w:r>
    </w:p>
    <w:p>
      <w:pPr>
        <w:keepNext w:val="0"/>
        <w:spacing w:after="160" w:before="0" w:line="240" w:lineRule="auto"/>
        <w:ind w:firstLine="720"/>
        <w:jc w:val="both"/>
      </w:pPr>
      <w:r>
        <w:rPr>
          <w:rFonts w:ascii="Times New Roman" w:hAnsi="Times New Roman" w:eastAsia="Times New Roman"/>
          <w:b w:val="0"/>
          <w:i w:val="0"/>
          <w:sz w:val="24"/>
        </w:rPr>
        <w:t xml:space="preserve">Official day-count estimates from Model 1 can also be read per 3 days or per 1 day without fitting a new model. If the count ratio per five days is </w:t>
      </w:r>
      <w:r>
        <w:rPr>
          <w:rFonts w:ascii="Times New Roman" w:hAnsi="Times New Roman" w:eastAsia="Times New Roman"/>
          <w:b w:val="0"/>
          <w:i/>
          <w:sz w:val="24"/>
        </w:rPr>
        <w:t>R</w:t>
      </w:r>
      <w:r>
        <w:rPr>
          <w:rFonts w:ascii="Times New Roman" w:hAnsi="Times New Roman" w:eastAsia="Times New Roman"/>
          <w:b w:val="0"/>
          <w:i w:val="0"/>
          <w:sz w:val="24"/>
        </w:rPr>
        <w:t xml:space="preserve">, the count ratio per three days is </w:t>
      </w:r>
      <w:r>
        <w:rPr>
          <w:rFonts w:ascii="Times New Roman" w:hAnsi="Times New Roman" w:eastAsia="Times New Roman"/>
          <w:b w:val="0"/>
          <w:i/>
          <w:sz w:val="24"/>
        </w:rPr>
        <w:t>R</w:t>
      </w:r>
      <w:r>
        <w:rPr>
          <w:rFonts w:ascii="Times New Roman" w:hAnsi="Times New Roman" w:eastAsia="Times New Roman"/>
          <w:b w:val="0"/>
          <w:i w:val="0"/>
          <w:sz w:val="24"/>
          <w:vertAlign w:val="superscript"/>
        </w:rPr>
        <w:t>(3/5) and the count ratio per one day is *R*</w:t>
      </w:r>
      <w:r>
        <w:rPr>
          <w:rFonts w:ascii="Times New Roman" w:hAnsi="Times New Roman" w:eastAsia="Times New Roman"/>
          <w:b w:val="0"/>
          <w:i w:val="0"/>
          <w:sz w:val="24"/>
        </w:rPr>
        <w:t>(1/5). Those are the same coefficient on a different scale, not a new model.</w:t>
      </w:r>
    </w:p>
    <w:p>
      <w:pPr>
        <w:keepNext w:val="0"/>
        <w:spacing w:after="160" w:before="0" w:line="240" w:lineRule="auto"/>
        <w:ind w:firstLine="720"/>
        <w:jc w:val="both"/>
      </w:pPr>
      <w:r>
        <w:rPr>
          <w:rFonts w:ascii="Times New Roman" w:hAnsi="Times New Roman" w:eastAsia="Times New Roman"/>
          <w:b w:val="0"/>
          <w:i w:val="0"/>
          <w:sz w:val="24"/>
        </w:rPr>
        <w:t>Other checks were the time-trend spline (3, 6, or 8 degrees of freedom in place of the Model 1 4-df spline, or year indicators in place of that spline). Those checks change the control for slow calendar time, not the length of a heatwave. Further checks were dropping the first 12 or 24 months; weather one or two months earlier; and dropping the most influential month. Cold-day models restricted to November–March are a labelled sensitivity.</w:t>
      </w:r>
    </w:p>
    <w:p>
      <w:pPr>
        <w:keepNext w:val="0"/>
        <w:spacing w:after="160" w:before="0" w:line="240" w:lineRule="auto"/>
        <w:ind w:firstLine="720"/>
        <w:jc w:val="both"/>
      </w:pPr>
      <w:r>
        <w:rPr>
          <w:rFonts w:ascii="Times New Roman" w:hAnsi="Times New Roman" w:eastAsia="Times New Roman"/>
          <w:b w:val="0"/>
          <w:i w:val="0"/>
          <w:sz w:val="24"/>
        </w:rPr>
        <w:t>Further checks used general-population × days as the offset (this is still a count ratio, not cohort incidence); maximum and minimum temperature in one model, or the three official extreme-day counts in one model; influenza on the 121 months with data; and nitrogen dioxide or PM2.5. Models that added pollution or influenza are extra checks. They are not replacements for Model 1.</w:t>
      </w:r>
    </w:p>
    <w:p>
      <w:pPr>
        <w:keepNext w:val="0"/>
        <w:spacing w:after="160" w:before="0" w:line="240" w:lineRule="auto"/>
        <w:ind w:firstLine="720"/>
        <w:jc w:val="both"/>
      </w:pPr>
      <w:r>
        <w:rPr>
          <w:rFonts w:ascii="Times New Roman" w:hAnsi="Times New Roman" w:eastAsia="Times New Roman"/>
          <w:b w:val="0"/>
          <w:i w:val="0"/>
          <w:sz w:val="24"/>
        </w:rPr>
        <w:t>Residual correlation was inspected with Pearson autocorrelation and Ljung–Box tests at lags 6 and 12.</w:t>
      </w:r>
    </w:p>
    <w:p>
      <w:pPr>
        <w:keepNext w:val="0"/>
        <w:spacing w:after="160" w:before="0" w:line="240" w:lineRule="auto"/>
        <w:ind w:firstLine="720"/>
        <w:jc w:val="both"/>
      </w:pPr>
      <w:r>
        <w:rPr>
          <w:rFonts w:ascii="Times New Roman" w:hAnsi="Times New Roman" w:eastAsia="Times New Roman"/>
          <w:b w:val="0"/>
          <w:i w:val="0"/>
          <w:sz w:val="24"/>
        </w:rPr>
        <w:t>Separately, we tested a published method for estimating daily temperature effects from monthly outcomes using simulated Hong Kong weather [15,16]. We did not apply that method to the hospital counts.</w:t>
      </w:r>
    </w:p>
    <w:p>
      <w:pPr>
        <w:keepNext/>
        <w:spacing w:after="120" w:before="160" w:line="240" w:lineRule="auto"/>
        <w:ind w:firstLine="0"/>
        <w:jc w:val="left"/>
      </w:pPr>
      <w:r>
        <w:rPr>
          <w:rFonts w:ascii="Times New Roman" w:hAnsi="Times New Roman" w:eastAsia="Times New Roman"/>
          <w:b/>
          <w:i w:val="0"/>
          <w:sz w:val="24"/>
        </w:rPr>
        <w:t>Software</w:t>
      </w:r>
    </w:p>
    <w:p>
      <w:pPr>
        <w:keepNext w:val="0"/>
        <w:spacing w:after="160" w:before="0" w:line="240" w:lineRule="auto"/>
        <w:ind w:firstLine="720"/>
        <w:jc w:val="both"/>
      </w:pPr>
      <w:r>
        <w:rPr>
          <w:rFonts w:ascii="Times New Roman" w:hAnsi="Times New Roman" w:eastAsia="Times New Roman"/>
          <w:b w:val="0"/>
          <w:i w:val="0"/>
          <w:sz w:val="24"/>
        </w:rPr>
        <w:t xml:space="preserve">Analyses were conducted in R 4.3.3 (2024-02-29). Negative-binomial models used </w:t>
      </w:r>
      <w:r>
        <w:rPr>
          <w:rFonts w:ascii="Times New Roman" w:hAnsi="Times New Roman" w:eastAsia="Times New Roman"/>
          <w:b w:val="0"/>
          <w:i/>
          <w:sz w:val="24"/>
        </w:rPr>
        <w:t>MASS::glm.nb</w:t>
      </w:r>
      <w:r>
        <w:rPr>
          <w:rFonts w:ascii="Times New Roman" w:hAnsi="Times New Roman" w:eastAsia="Times New Roman"/>
          <w:b w:val="0"/>
          <w:i w:val="0"/>
          <w:sz w:val="24"/>
        </w:rPr>
        <w:t xml:space="preserve"> (MASS 7.3-60.0.1). Newey–West and HC1 standard errors used </w:t>
      </w:r>
      <w:r>
        <w:rPr>
          <w:rFonts w:ascii="Times New Roman" w:hAnsi="Times New Roman" w:eastAsia="Times New Roman"/>
          <w:b w:val="0"/>
          <w:i/>
          <w:sz w:val="24"/>
        </w:rPr>
        <w:t>sandwich</w:t>
      </w:r>
      <w:r>
        <w:rPr>
          <w:rFonts w:ascii="Times New Roman" w:hAnsi="Times New Roman" w:eastAsia="Times New Roman"/>
          <w:b w:val="0"/>
          <w:i w:val="0"/>
          <w:sz w:val="24"/>
        </w:rPr>
        <w:t xml:space="preserve"> 3.1.3. Natural cubic splines used </w:t>
      </w:r>
      <w:r>
        <w:rPr>
          <w:rFonts w:ascii="Times New Roman" w:hAnsi="Times New Roman" w:eastAsia="Times New Roman"/>
          <w:b w:val="0"/>
          <w:i/>
          <w:sz w:val="24"/>
        </w:rPr>
        <w:t>splines::ns</w:t>
      </w:r>
      <w:r>
        <w:rPr>
          <w:rFonts w:ascii="Times New Roman" w:hAnsi="Times New Roman" w:eastAsia="Times New Roman"/>
          <w:b w:val="0"/>
          <w:i w:val="0"/>
          <w:sz w:val="24"/>
        </w:rPr>
        <w:t>.</w:t>
      </w:r>
    </w:p>
    <w:p>
      <w:pPr>
        <w:keepNext/>
        <w:pageBreakBefore/>
        <w:spacing w:after="120" w:before="0" w:line="240" w:lineRule="auto"/>
        <w:ind w:firstLine="0"/>
        <w:jc w:val="left"/>
      </w:pPr>
      <w:r>
        <w:rPr>
          <w:rFonts w:ascii="Times New Roman" w:hAnsi="Times New Roman" w:eastAsia="Times New Roman"/>
          <w:b/>
          <w:i w:val="0"/>
          <w:sz w:val="28"/>
        </w:rPr>
        <w:t>Results</w:t>
      </w:r>
    </w:p>
    <w:p>
      <w:pPr>
        <w:keepNext/>
        <w:spacing w:after="120" w:before="160" w:line="240" w:lineRule="auto"/>
        <w:ind w:firstLine="0"/>
        <w:jc w:val="left"/>
      </w:pPr>
      <w:r>
        <w:rPr>
          <w:rFonts w:ascii="Times New Roman" w:hAnsi="Times New Roman" w:eastAsia="Times New Roman"/>
          <w:b/>
          <w:i w:val="0"/>
          <w:sz w:val="24"/>
        </w:rPr>
        <w:t>Outcome series</w:t>
      </w:r>
    </w:p>
    <w:p>
      <w:pPr>
        <w:keepNext w:val="0"/>
        <w:spacing w:after="160" w:before="0" w:line="240" w:lineRule="auto"/>
        <w:ind w:firstLine="720"/>
        <w:jc w:val="both"/>
      </w:pPr>
      <w:r>
        <w:rPr>
          <w:rFonts w:ascii="Times New Roman" w:hAnsi="Times New Roman" w:eastAsia="Times New Roman"/>
          <w:b w:val="0"/>
          <w:i w:val="0"/>
          <w:sz w:val="24"/>
        </w:rPr>
        <w:t>CHD contributed 156,156 first recorded hospitalisations over 132 months, a mean of 1,183.0 per month. HF contributed 29,681, a mean of 224.9 per month (Table 1). Annual totals fell by about half from 2013 to 2023 (CHD 23,830 to 12,323; HF 4,336 to 2,296), with a further dip in 2020 (CHD 10,237; HF 1,964). Over the same years, the interpolated Census and Statistics Department population aged 35 years or older rose by 17%. Most of the count decline preceded 2020: 2019 totals were 12,396 for CHD and 2,344 for HF. Figure 1 therefore shows a secular decline with a pandemic-era trough, rather than a post-2020 health recovery. The series cannot distinguish depletion from changes in care-seeking without monthly still-at-risk person-time.</w:t>
      </w:r>
    </w:p>
    <w:p>
      <w:pPr>
        <w:keepNext/>
        <w:keepLines/>
        <w:pageBreakBefore/>
        <w:spacing w:after="160" w:before="0" w:line="240" w:lineRule="auto"/>
        <w:ind w:firstLine="0"/>
        <w:jc w:val="left"/>
      </w:pPr>
      <w:r>
        <w:rPr>
          <w:rFonts w:ascii="Times New Roman" w:hAnsi="Times New Roman" w:eastAsia="Times New Roman"/>
          <w:b w:val="0"/>
          <w:i/>
          <w:sz w:val="22"/>
        </w:rPr>
        <w:t>Table 1. Outcome summary.</w:t>
      </w:r>
    </w:p>
    <w:tbl>
      <w:tblPr>
        <w:tblStyle w:val="TableGrid"/>
        <w:tblLayout w:type="fixed"/>
        <w:tblLook w:firstColumn="1" w:firstRow="1" w:lastColumn="0" w:lastRow="0" w:noHBand="0" w:noVBand="1" w:val="04A0"/>
        <w:tblW w:w="5000" w:type="pct"/>
        <w:tblLayout w:type="fixed"/>
      </w:tblPr>
      <w:tblGrid>
        <w:gridCol w:w="1800"/>
        <w:gridCol w:w="1080"/>
        <w:gridCol w:w="648"/>
        <w:gridCol w:w="1152"/>
        <w:gridCol w:w="1007"/>
        <w:gridCol w:w="3096"/>
      </w:tblGrid>
      <w:tr>
        <w:trPr>
          <w:cantSplit/>
          <w:tblHeader/>
        </w:trPr>
        <w:tc>
          <w:tcPr>
            <w:tcW w:type="dxa" w:w="180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Outcome</w:t>
            </w:r>
          </w:p>
        </w:tc>
        <w:tc>
          <w:tcPr>
            <w:tcW w:type="dxa" w:w="108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Period</w:t>
            </w:r>
          </w:p>
        </w:tc>
        <w:tc>
          <w:tcPr>
            <w:tcW w:type="dxa" w:w="64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Months</w:t>
            </w:r>
          </w:p>
        </w:tc>
        <w:tc>
          <w:tcPr>
            <w:tcW w:type="dxa" w:w="115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Total events</w:t>
            </w:r>
          </w:p>
        </w:tc>
        <w:tc>
          <w:tcPr>
            <w:tcW w:type="dxa" w:w="100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Mean per month</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Event construction</w:t>
            </w:r>
          </w:p>
        </w:tc>
      </w:tr>
      <w:tr>
        <w:trPr>
          <w:cantSplit/>
        </w:trPr>
        <w:tc>
          <w:tcPr>
            <w:tcW w:type="dxa" w:w="180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Coronary heart disease</w:t>
            </w:r>
          </w:p>
        </w:tc>
        <w:tc>
          <w:tcPr>
            <w:tcW w:type="dxa" w:w="1080"/>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2013–2023</w:t>
            </w:r>
          </w:p>
        </w:tc>
        <w:tc>
          <w:tcPr>
            <w:tcW w:type="dxa" w:w="64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132</w:t>
            </w:r>
          </w:p>
        </w:tc>
        <w:tc>
          <w:tcPr>
            <w:tcW w:type="dxa" w:w="1152"/>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156,156</w:t>
            </w:r>
          </w:p>
        </w:tc>
        <w:tc>
          <w:tcPr>
            <w:tcW w:type="dxa" w:w="100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1,183.0</w:t>
            </w:r>
          </w:p>
        </w:tc>
        <w:tc>
          <w:tcPr>
            <w:tcW w:type="dxa" w:w="30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First recorded hospitalisation after first CHD diagnosis</w:t>
            </w:r>
          </w:p>
        </w:tc>
      </w:tr>
      <w:tr>
        <w:trPr>
          <w:cantSplit/>
        </w:trPr>
        <w:tc>
          <w:tcPr>
            <w:tcW w:type="dxa" w:w="1800"/>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Heart failure</w:t>
            </w:r>
          </w:p>
        </w:tc>
        <w:tc>
          <w:tcPr>
            <w:tcW w:type="dxa" w:w="1080"/>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2013–2023</w:t>
            </w:r>
          </w:p>
        </w:tc>
        <w:tc>
          <w:tcPr>
            <w:tcW w:type="dxa" w:w="64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132</w:t>
            </w:r>
          </w:p>
        </w:tc>
        <w:tc>
          <w:tcPr>
            <w:tcW w:type="dxa" w:w="1152"/>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29,681</w:t>
            </w:r>
          </w:p>
        </w:tc>
        <w:tc>
          <w:tcPr>
            <w:tcW w:type="dxa" w:w="100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224.9</w:t>
            </w:r>
          </w:p>
        </w:tc>
        <w:tc>
          <w:tcPr>
            <w:tcW w:type="dxa" w:w="30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First recorded hospitalisation after first HF diagnosis</w:t>
            </w:r>
          </w:p>
        </w:tc>
      </w:tr>
    </w:tbl>
    <w:p>
      <w:r>
        <w:br w:type="page"/>
      </w:r>
    </w:p>
    <w:p>
      <w:pPr>
        <w:keepNext/>
        <w:keepLines/>
        <w:spacing w:after="160" w:before="0" w:line="240" w:lineRule="auto"/>
        <w:ind w:firstLine="0"/>
        <w:jc w:val="left"/>
      </w:pPr>
      <w:r>
        <w:rPr>
          <w:rFonts w:ascii="Times New Roman" w:hAnsi="Times New Roman" w:eastAsia="Times New Roman"/>
          <w:b w:val="0"/>
          <w:i/>
          <w:sz w:val="22"/>
        </w:rPr>
        <w:t>Figure 1. First-event counts fell while the general population aged 35 years or older rose. Index = 1 in 2013. CHD 23,830 → 12,323; HF 4,336 → 2,296. Source: governed Hospital Authority aggregate annual totals; Census and Statistics Department mid-year population aged 35 years or older. The figure does not measure consecutive hot or cold spells, and it is not a physiological series.</w:t>
      </w:r>
    </w:p>
    <w:p>
      <w:pPr>
        <w:keepLines/>
        <w:spacing w:after="80" w:before="0" w:line="240" w:lineRule="auto"/>
        <w:ind w:firstLine="0"/>
        <w:jc w:val="center"/>
      </w:pPr>
      <w:r>
        <w:drawing>
          <wp:inline xmlns:a="http://schemas.openxmlformats.org/drawingml/2006/main" xmlns:pic="http://schemas.openxmlformats.org/drawingml/2006/picture">
            <wp:extent cx="5669280" cy="5811011"/>
            <wp:docPr id="1" name="Picture 1"/>
            <wp:cNvGraphicFramePr>
              <a:graphicFrameLocks noChangeAspect="1"/>
            </wp:cNvGraphicFramePr>
            <a:graphic>
              <a:graphicData uri="http://schemas.openxmlformats.org/drawingml/2006/picture">
                <pic:pic>
                  <pic:nvPicPr>
                    <pic:cNvPr id="0" name="figure_B_first_event_depletion.png"/>
                    <pic:cNvPicPr/>
                  </pic:nvPicPr>
                  <pic:blipFill>
                    <a:blip r:embed="rId11"/>
                    <a:stretch>
                      <a:fillRect/>
                    </a:stretch>
                  </pic:blipFill>
                  <pic:spPr>
                    <a:xfrm>
                      <a:off x="0" y="0"/>
                      <a:ext cx="5669280" cy="5811011"/>
                    </a:xfrm>
                    <a:prstGeom prst="rect"/>
                  </pic:spPr>
                </pic:pic>
              </a:graphicData>
            </a:graphic>
          </wp:inline>
        </w:drawing>
      </w:r>
    </w:p>
    <w:p>
      <w:r>
        <w:br w:type="page"/>
      </w:r>
    </w:p>
    <w:p>
      <w:pPr>
        <w:keepNext/>
        <w:spacing w:after="120" w:before="160" w:line="240" w:lineRule="auto"/>
        <w:ind w:firstLine="0"/>
        <w:jc w:val="left"/>
      </w:pPr>
      <w:r>
        <w:rPr>
          <w:rFonts w:ascii="Times New Roman" w:hAnsi="Times New Roman" w:eastAsia="Times New Roman"/>
          <w:b/>
          <w:i w:val="0"/>
          <w:sz w:val="24"/>
        </w:rPr>
        <w:t>Exposure context</w:t>
      </w:r>
    </w:p>
    <w:p>
      <w:pPr>
        <w:keepNext w:val="0"/>
        <w:spacing w:after="160" w:before="0" w:line="240" w:lineRule="auto"/>
        <w:ind w:firstLine="720"/>
        <w:jc w:val="both"/>
      </w:pPr>
      <w:r>
        <w:rPr>
          <w:rFonts w:ascii="Times New Roman" w:hAnsi="Times New Roman" w:eastAsia="Times New Roman"/>
          <w:b w:val="0"/>
          <w:i w:val="0"/>
          <w:sz w:val="24"/>
        </w:rPr>
        <w:t>Mean temperature, hot nights, and very hot days were higher in 2020–2022 than in 2013–2019, whereas monthly cold-day frequency was similar (Supplementary Table S10). These are exposure summaries, not health effects. Of 145 cold days in 2013–2023, 141 fell in December–February. Twenty-nine of 132 months carried at least one official cold day (Figure 2). After calendar-month indicators, the remaining cold-day variation is between-year winter variation, not a summer-versus-winter contrast.</w:t>
      </w:r>
    </w:p>
    <w:p>
      <w:pPr>
        <w:keepNext/>
        <w:keepLines/>
        <w:pageBreakBefore/>
        <w:spacing w:after="160" w:before="0" w:line="240" w:lineRule="auto"/>
        <w:ind w:firstLine="0"/>
        <w:jc w:val="left"/>
      </w:pPr>
      <w:r>
        <w:rPr>
          <w:rFonts w:ascii="Times New Roman" w:hAnsi="Times New Roman" w:eastAsia="Times New Roman"/>
          <w:b w:val="0"/>
          <w:i/>
          <w:sz w:val="22"/>
        </w:rPr>
        <w:t>Figure 2. Official cold days by year and month, Hong Kong Observatory Headquarters, 2013–2023. Source: Hong Kong Observatory official daily cold-day flags (Tmin ≤ 12 °C), aggregated to calendar months. Identification is between winters, not a consecutive-duration spell, and not a physiological mechanism.</w:t>
      </w:r>
    </w:p>
    <w:p>
      <w:pPr>
        <w:keepLines/>
        <w:spacing w:after="80" w:before="0" w:line="240" w:lineRule="auto"/>
        <w:ind w:firstLine="0"/>
        <w:jc w:val="center"/>
      </w:pPr>
      <w:r>
        <w:drawing>
          <wp:inline xmlns:a="http://schemas.openxmlformats.org/drawingml/2006/main" xmlns:pic="http://schemas.openxmlformats.org/drawingml/2006/picture">
            <wp:extent cx="5669280" cy="4110228"/>
            <wp:docPr id="2" name="Picture 2"/>
            <wp:cNvGraphicFramePr>
              <a:graphicFrameLocks noChangeAspect="1"/>
            </wp:cNvGraphicFramePr>
            <a:graphic>
              <a:graphicData uri="http://schemas.openxmlformats.org/drawingml/2006/picture">
                <pic:pic>
                  <pic:nvPicPr>
                    <pic:cNvPr id="0" name="figure_A_cold_day_identification.png"/>
                    <pic:cNvPicPr/>
                  </pic:nvPicPr>
                  <pic:blipFill>
                    <a:blip r:embed="rId12"/>
                    <a:stretch>
                      <a:fillRect/>
                    </a:stretch>
                  </pic:blipFill>
                  <pic:spPr>
                    <a:xfrm>
                      <a:off x="0" y="0"/>
                      <a:ext cx="5669280" cy="4110228"/>
                    </a:xfrm>
                    <a:prstGeom prst="rect"/>
                  </pic:spPr>
                </pic:pic>
              </a:graphicData>
            </a:graphic>
          </wp:inline>
        </w:drawing>
      </w:r>
    </w:p>
    <w:p>
      <w:r>
        <w:br w:type="page"/>
      </w:r>
    </w:p>
    <w:p>
      <w:pPr>
        <w:keepNext/>
        <w:spacing w:after="120" w:before="160" w:line="240" w:lineRule="auto"/>
        <w:ind w:firstLine="0"/>
        <w:jc w:val="left"/>
      </w:pPr>
      <w:r>
        <w:rPr>
          <w:rFonts w:ascii="Times New Roman" w:hAnsi="Times New Roman" w:eastAsia="Times New Roman"/>
          <w:b/>
          <w:i w:val="0"/>
          <w:sz w:val="24"/>
        </w:rPr>
        <w:t>Nested-window official-day panel</w:t>
      </w:r>
    </w:p>
    <w:p>
      <w:pPr>
        <w:keepNext/>
        <w:keepLines/>
        <w:pageBreakBefore/>
        <w:spacing w:after="160" w:before="0" w:line="240" w:lineRule="auto"/>
        <w:ind w:firstLine="0"/>
        <w:jc w:val="left"/>
      </w:pPr>
      <w:r>
        <w:rPr>
          <w:rFonts w:ascii="Times New Roman" w:hAnsi="Times New Roman" w:eastAsia="Times New Roman"/>
          <w:b w:val="0"/>
          <w:i/>
          <w:sz w:val="22"/>
        </w:rPr>
        <w:t>Table 2 reports the official-day Model 1 count ratios, per five additional such days in the month, for the full 132 months and for the labelled 84-month specification. Figure 3 is the main identification display for this article, including trend-spline and COVID-phase rows.</w:t>
      </w:r>
    </w:p>
    <w:p>
      <w:pPr>
        <w:keepNext w:val="0"/>
        <w:spacing w:after="160" w:before="0" w:line="240" w:lineRule="auto"/>
        <w:ind w:firstLine="720"/>
        <w:jc w:val="both"/>
      </w:pPr>
      <w:commentRangeStart w:id="7"/>
      <w:r>
        <w:rPr>
          <w:rFonts w:ascii="Times New Roman" w:hAnsi="Times New Roman" w:eastAsia="Times New Roman"/>
          <w:b w:val="0"/>
          <w:i w:val="0"/>
          <w:sz w:val="24"/>
        </w:rPr>
        <w:t xml:space="preserve">The HF cold-day point estimate was 1.113 (1.053–1.176) before 2020 and 1.073 (1.006–1.144) over 2013–2023. The CHD cold-day estimate was 1.036 (1.007–1.067) before 2020 and 0.995 (0.949–1.043) in the full window. The 84 pre-2020 months are contained in the full window, so the estimates are not independent and interval overlap is not a test of a window difference. The CHD hot-night estimate was compatible with 1 before 2020 (1.011, 0.991–1.032) and was 1.022 (1.002–1.042) in the full window. Both displayed full-window estimates have </w:t>
      </w:r>
      <w:commentRangeEnd w:id="7"/>
      <w:r>
        <w:rPr>
          <w:rStyle w:val="CommentReference"/>
        </w:rPr>
        <w:commentReference w:id="7"/>
      </w:r>
      <w:r>
        <w:rPr>
          <w:rFonts w:ascii="Times New Roman" w:hAnsi="Times New Roman" w:eastAsia="Times New Roman"/>
          <w:b w:val="0"/>
          <w:i/>
          <w:sz w:val="24"/>
        </w:rPr>
        <w:t>q</w:t>
      </w:r>
      <w:r>
        <w:rPr>
          <w:rFonts w:ascii="Times New Roman" w:hAnsi="Times New Roman" w:eastAsia="Times New Roman"/>
          <w:b w:val="0"/>
          <w:i w:val="0"/>
          <w:sz w:val="24"/>
        </w:rPr>
        <w:t xml:space="preserve"> = 0.192. COVID-phase indicators on the full sample moved the CHD hot-night ratio to 1.013 (0.994–1.033) and left the HF cold-day ratio at 1.074 (1.006–1.145). These are nested-window sensitivity estimates. No interaction between thermal exposure and period was fitted, and no separate 2020–2023 Model 1 estimate is reported.</w:t>
      </w:r>
    </w:p>
    <w:p>
      <w:pPr>
        <w:keepNext/>
        <w:keepLines/>
        <w:pageBreakBefore/>
        <w:spacing w:after="160" w:before="0" w:line="240" w:lineRule="auto"/>
        <w:ind w:firstLine="0"/>
        <w:jc w:val="left"/>
      </w:pPr>
      <w:commentRangeStart w:id="8"/>
      <w:r>
        <w:rPr>
          <w:rFonts w:ascii="Times New Roman" w:hAnsi="Times New Roman" w:eastAsia="Times New Roman"/>
          <w:b w:val="0"/>
          <w:i/>
          <w:sz w:val="22"/>
        </w:rPr>
        <w:t>Table 2. Official-day count ratios in the full window and in January 2013–December 2019 (Newey–West lag-6). Each estimate is the Model 1 count ratio per five additional official days in the month. Pre-2020 is a labelled specification (84 months). Benjamini–Hochberg q-values apply to the twelve full-window Model 1 fits only.</w:t>
      </w:r>
      <w:commentRangeEnd w:id="8"/>
      <w:r>
        <w:rPr>
          <w:rStyle w:val="CommentReference"/>
        </w:rPr>
        <w:commentReference w:id="8"/>
      </w:r>
    </w:p>
    <w:tbl>
      <w:tblPr>
        <w:tblStyle w:val="TableGrid"/>
        <w:tblLayout w:type="fixed"/>
        <w:tblLook w:firstColumn="1" w:firstRow="1" w:lastColumn="0" w:lastRow="0" w:noHBand="0" w:noVBand="1" w:val="04A0"/>
        <w:tblW w:w="5000" w:type="pct"/>
        <w:tblLayout w:type="fixed"/>
      </w:tblPr>
      <w:tblGrid>
        <w:gridCol w:w="1296"/>
        <w:gridCol w:w="2015"/>
        <w:gridCol w:w="2736"/>
        <w:gridCol w:w="2736"/>
      </w:tblGrid>
      <w:tr>
        <w:trPr>
          <w:cantSplit/>
          <w:tblHeader/>
        </w:trPr>
        <w:tc>
          <w:tcPr>
            <w:tcW w:type="dxa" w:w="12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Outcome</w:t>
            </w:r>
          </w:p>
        </w:tc>
        <w:tc>
          <w:tcPr>
            <w:tcW w:type="dxa" w:w="201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Exposure contrast</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2013–2023 (132 months)</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Pre-2020 (84 months)</w:t>
            </w:r>
          </w:p>
        </w:tc>
      </w:tr>
      <w:tr>
        <w:trPr>
          <w:cantSplit/>
        </w:trPr>
        <w:tc>
          <w:tcPr>
            <w:tcW w:type="dxa" w:w="12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CHD</w:t>
            </w:r>
          </w:p>
        </w:tc>
        <w:tc>
          <w:tcPr>
            <w:tcW w:type="dxa" w:w="201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Hot nights / 5 days</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1.022 (1.002–1.042), q = 0.192</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1.011 (0.991–1.032)</w:t>
            </w:r>
          </w:p>
        </w:tc>
      </w:tr>
      <w:tr>
        <w:trPr>
          <w:cantSplit/>
        </w:trPr>
        <w:tc>
          <w:tcPr>
            <w:tcW w:type="dxa" w:w="12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CHD</w:t>
            </w:r>
          </w:p>
        </w:tc>
        <w:tc>
          <w:tcPr>
            <w:tcW w:type="dxa" w:w="201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Very hot days / 5 days</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0.999 (0.974–1.025)</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0.997 (0.982–1.012)</w:t>
            </w:r>
          </w:p>
        </w:tc>
      </w:tr>
      <w:tr>
        <w:trPr>
          <w:cantSplit/>
        </w:trPr>
        <w:tc>
          <w:tcPr>
            <w:tcW w:type="dxa" w:w="12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CHD</w:t>
            </w:r>
          </w:p>
        </w:tc>
        <w:tc>
          <w:tcPr>
            <w:tcW w:type="dxa" w:w="201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Cold days / 5 days</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0.995 (0.949–1.043)</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1.036 (1.007–1.067)</w:t>
            </w:r>
          </w:p>
        </w:tc>
      </w:tr>
      <w:tr>
        <w:trPr>
          <w:cantSplit/>
        </w:trPr>
        <w:tc>
          <w:tcPr>
            <w:tcW w:type="dxa" w:w="12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HF</w:t>
            </w:r>
          </w:p>
        </w:tc>
        <w:tc>
          <w:tcPr>
            <w:tcW w:type="dxa" w:w="201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Hot nights / 5 days</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1.003 (0.976–1.031)</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0.965 (0.937–0.994)</w:t>
            </w:r>
          </w:p>
        </w:tc>
      </w:tr>
      <w:tr>
        <w:trPr>
          <w:cantSplit/>
        </w:trPr>
        <w:tc>
          <w:tcPr>
            <w:tcW w:type="dxa" w:w="12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HF</w:t>
            </w:r>
          </w:p>
        </w:tc>
        <w:tc>
          <w:tcPr>
            <w:tcW w:type="dxa" w:w="201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Very hot days / 5 days</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0.995 (0.963–1.028)</w:t>
            </w:r>
          </w:p>
        </w:tc>
        <w:tc>
          <w:tcPr>
            <w:tcW w:type="dxa" w:w="273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0.990 (0.960–1.021)</w:t>
            </w:r>
          </w:p>
        </w:tc>
      </w:tr>
      <w:tr>
        <w:trPr>
          <w:cantSplit/>
        </w:trPr>
        <w:tc>
          <w:tcPr>
            <w:tcW w:type="dxa" w:w="12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HF</w:t>
            </w:r>
          </w:p>
        </w:tc>
        <w:tc>
          <w:tcPr>
            <w:tcW w:type="dxa" w:w="201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Cold days / 5 days</w:t>
            </w:r>
          </w:p>
        </w:tc>
        <w:tc>
          <w:tcPr>
            <w:tcW w:type="dxa" w:w="273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1.073 (1.006–1.144), q = 0.192</w:t>
            </w:r>
          </w:p>
        </w:tc>
        <w:tc>
          <w:tcPr>
            <w:tcW w:type="dxa" w:w="273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1.113 (1.053–1.176)</w:t>
            </w:r>
          </w:p>
        </w:tc>
      </w:tr>
    </w:tbl>
    <w:p>
      <w:r>
        <w:br w:type="page"/>
      </w:r>
    </w:p>
    <w:p>
      <w:pPr>
        <w:keepNext/>
        <w:keepLines/>
        <w:spacing w:after="160" w:before="0" w:line="240" w:lineRule="auto"/>
        <w:ind w:firstLine="0"/>
        <w:jc w:val="left"/>
      </w:pPr>
      <w:r>
        <w:rPr>
          <w:rFonts w:ascii="Times New Roman" w:hAnsi="Times New Roman" w:eastAsia="Times New Roman"/>
          <w:b w:val="0"/>
          <w:i/>
          <w:sz w:val="22"/>
        </w:rPr>
        <w:t>Figure 3. Model 1 count ratios for official day counts across time-trend, window, and COVID-period specifications (Newey–West lag-6 intervals). The exposure is the monthly official day count divided by five, so each estimate is the count ratio per five additional such days in that month. Rows labelled 3, 6, or 8 df replace the 4-df time-trend spline of Model 1. Neither the five-day scale nor the spline degrees of freedom refers to consecutive days. Pre-2020 is January 2013–December 2019 (84 months). Continuous-temperature fits for the same specifications are a supplement, not a physiology panel.</w:t>
      </w:r>
    </w:p>
    <w:p>
      <w:pPr>
        <w:keepLines/>
        <w:spacing w:after="80" w:before="0" w:line="240" w:lineRule="auto"/>
        <w:ind w:firstLine="0"/>
        <w:jc w:val="center"/>
      </w:pPr>
      <w:r>
        <w:drawing>
          <wp:inline xmlns:a="http://schemas.openxmlformats.org/drawingml/2006/main" xmlns:pic="http://schemas.openxmlformats.org/drawingml/2006/picture">
            <wp:extent cx="4627983" cy="5486399"/>
            <wp:docPr id="3" name="Picture 3"/>
            <wp:cNvGraphicFramePr>
              <a:graphicFrameLocks noChangeAspect="1"/>
            </wp:cNvGraphicFramePr>
            <a:graphic>
              <a:graphicData uri="http://schemas.openxmlformats.org/drawingml/2006/picture">
                <pic:pic>
                  <pic:nvPicPr>
                    <pic:cNvPr id="0" name="figure_D_trend_depletion_sensitivity.png"/>
                    <pic:cNvPicPr/>
                  </pic:nvPicPr>
                  <pic:blipFill>
                    <a:blip r:embed="rId13"/>
                    <a:stretch>
                      <a:fillRect/>
                    </a:stretch>
                  </pic:blipFill>
                  <pic:spPr>
                    <a:xfrm>
                      <a:off x="0" y="0"/>
                      <a:ext cx="4627983" cy="5486399"/>
                    </a:xfrm>
                    <a:prstGeom prst="rect"/>
                  </pic:spPr>
                </pic:pic>
              </a:graphicData>
            </a:graphic>
          </wp:inline>
        </w:drawing>
      </w:r>
    </w:p>
    <w:p>
      <w:r>
        <w:br w:type="page"/>
      </w:r>
    </w:p>
    <w:p>
      <w:pPr>
        <w:keepNext/>
        <w:spacing w:after="120" w:before="160" w:line="240" w:lineRule="auto"/>
        <w:ind w:firstLine="0"/>
        <w:jc w:val="left"/>
      </w:pPr>
      <w:r>
        <w:rPr>
          <w:rFonts w:ascii="Times New Roman" w:hAnsi="Times New Roman" w:eastAsia="Times New Roman"/>
          <w:b/>
          <w:i w:val="0"/>
          <w:sz w:val="24"/>
        </w:rPr>
        <w:t>Full thermal panel and uncertainty</w:t>
      </w:r>
    </w:p>
    <w:p>
      <w:pPr>
        <w:keepNext w:val="0"/>
        <w:spacing w:after="160" w:before="0" w:line="240" w:lineRule="auto"/>
        <w:ind w:firstLine="720"/>
        <w:jc w:val="both"/>
      </w:pPr>
      <w:r>
        <w:rPr>
          <w:rFonts w:ascii="Times New Roman" w:hAnsi="Times New Roman" w:eastAsia="Times New Roman"/>
          <w:b w:val="0"/>
          <w:i w:val="0"/>
          <w:sz w:val="24"/>
        </w:rPr>
        <w:t xml:space="preserve">The complete twelve-fit Model 1 panel, with all four uncertainty constructions, is reported in Supplementary Table S1. All twelve full-window </w:t>
      </w:r>
      <w:r>
        <w:rPr>
          <w:rFonts w:ascii="Times New Roman" w:hAnsi="Times New Roman" w:eastAsia="Times New Roman"/>
          <w:b w:val="0"/>
          <w:i/>
          <w:sz w:val="24"/>
        </w:rPr>
        <w:t>q</w:t>
      </w:r>
      <w:r>
        <w:rPr>
          <w:rFonts w:ascii="Times New Roman" w:hAnsi="Times New Roman" w:eastAsia="Times New Roman"/>
          <w:b w:val="0"/>
          <w:i w:val="0"/>
          <w:sz w:val="24"/>
        </w:rPr>
        <w:t>-values exceeded 0.19; the minimum was 0.192. No fit meets a multiplicity-protected confirmatory threshold.</w:t>
      </w:r>
    </w:p>
    <w:p>
      <w:pPr>
        <w:keepNext/>
        <w:keepLines/>
        <w:pageBreakBefore/>
        <w:spacing w:after="160" w:before="0" w:line="240" w:lineRule="auto"/>
        <w:ind w:firstLine="0"/>
        <w:jc w:val="left"/>
      </w:pPr>
      <w:r>
        <w:rPr>
          <w:rFonts w:ascii="Times New Roman" w:hAnsi="Times New Roman" w:eastAsia="Times New Roman"/>
          <w:b w:val="0"/>
          <w:i/>
          <w:sz w:val="22"/>
        </w:rPr>
        <w:t>Table 3. Uncertainty ladder for four diagnostic contrasts.</w:t>
      </w:r>
    </w:p>
    <w:tbl>
      <w:tblPr>
        <w:tblStyle w:val="TableGrid"/>
        <w:tblLayout w:type="fixed"/>
        <w:tblLook w:firstColumn="1" w:firstRow="1" w:lastColumn="0" w:lastRow="0" w:noHBand="0" w:noVBand="1" w:val="04A0"/>
        <w:tblW w:w="5000" w:type="pct"/>
        <w:tblLayout w:type="fixed"/>
      </w:tblPr>
      <w:tblGrid>
        <w:gridCol w:w="2448"/>
        <w:gridCol w:w="1584"/>
        <w:gridCol w:w="1584"/>
        <w:gridCol w:w="1584"/>
        <w:gridCol w:w="1584"/>
      </w:tblGrid>
      <w:tr>
        <w:trPr>
          <w:cantSplit/>
          <w:tblHeader/>
        </w:trPr>
        <w:tc>
          <w:tcPr>
            <w:tcW w:type="dxa" w:w="244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Outcome and exposure</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Model</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HC1</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NW3</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8"/>
              </w:rPr>
              <w:t>NW6</w:t>
            </w:r>
          </w:p>
        </w:tc>
      </w:tr>
      <w:tr>
        <w:trPr>
          <w:cantSplit/>
        </w:trPr>
        <w:tc>
          <w:tcPr>
            <w:tcW w:type="dxa" w:w="244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CHD hot nights / 5 days</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1.022 (0.995–1.049)</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1.022 (0.997–1.047)</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1.022 (1.000–1.044)</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1.022 (1.002–1.042)</w:t>
            </w:r>
          </w:p>
        </w:tc>
      </w:tr>
      <w:tr>
        <w:trPr>
          <w:cantSplit/>
        </w:trPr>
        <w:tc>
          <w:tcPr>
            <w:tcW w:type="dxa" w:w="244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HF mean temperature / 1 °C</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0.974 (0.956–0.993)</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0.974 (0.949–1.000)</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0.974 (0.949–1.001)</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0.974 (0.947–1.002)</w:t>
            </w:r>
          </w:p>
        </w:tc>
      </w:tr>
      <w:tr>
        <w:trPr>
          <w:cantSplit/>
        </w:trPr>
        <w:tc>
          <w:tcPr>
            <w:tcW w:type="dxa" w:w="244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HF mean minimum temperature / 1 °C</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0.973 (0.956–0.991)</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0.973 (0.950–0.997)</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0.973 (0.948–0.999)</w:t>
            </w:r>
          </w:p>
        </w:tc>
        <w:tc>
          <w:tcPr>
            <w:tcW w:type="dxa" w:w="158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8"/>
              </w:rPr>
              <w:t>0.973 (0.947–1.000)</w:t>
            </w:r>
          </w:p>
        </w:tc>
      </w:tr>
      <w:tr>
        <w:trPr>
          <w:cantSplit/>
        </w:trPr>
        <w:tc>
          <w:tcPr>
            <w:tcW w:type="dxa" w:w="244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HF cold days / 5 days</w:t>
            </w:r>
          </w:p>
        </w:tc>
        <w:tc>
          <w:tcPr>
            <w:tcW w:type="dxa" w:w="158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1.073 (1.023–1.125)</w:t>
            </w:r>
          </w:p>
        </w:tc>
        <w:tc>
          <w:tcPr>
            <w:tcW w:type="dxa" w:w="158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1.073 (1.011–1.138)</w:t>
            </w:r>
          </w:p>
        </w:tc>
        <w:tc>
          <w:tcPr>
            <w:tcW w:type="dxa" w:w="158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1.073 (1.007–1.143)</w:t>
            </w:r>
          </w:p>
        </w:tc>
        <w:tc>
          <w:tcPr>
            <w:tcW w:type="dxa" w:w="158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8"/>
              </w:rPr>
              <w:t>1.073 (1.006–1.144)</w:t>
            </w:r>
          </w:p>
        </w:tc>
      </w:tr>
    </w:tbl>
    <w:p>
      <w:r>
        <w:br w:type="page"/>
      </w:r>
    </w:p>
    <w:p>
      <w:pPr>
        <w:keepNext w:val="0"/>
        <w:spacing w:after="160" w:before="0" w:line="240" w:lineRule="auto"/>
        <w:ind w:firstLine="720"/>
        <w:jc w:val="both"/>
      </w:pPr>
      <w:r>
        <w:rPr>
          <w:rFonts w:ascii="Times New Roman" w:hAnsi="Times New Roman" w:eastAsia="Times New Roman"/>
          <w:b w:val="0"/>
          <w:i w:val="0"/>
          <w:sz w:val="24"/>
        </w:rPr>
        <w:t>For CHD hot nights, the model-based and HC1 intervals included 1, while the Newey–West intervals excluded 1. Those robust intervals were narrower, not wider, than the model-based interval. For HF mean and minimum temperature, the model-based intervals excluded 1, whereas the Newey–West lag-6 intervals included 1. HF cold days excluded 1 under all four constructions. No construction was selected because it excluded 1, and agreement across constructions does not create multiplicity protection.</w:t>
      </w:r>
    </w:p>
    <w:p>
      <w:pPr>
        <w:keepNext/>
        <w:spacing w:after="120" w:before="160" w:line="240" w:lineRule="auto"/>
        <w:ind w:firstLine="0"/>
        <w:jc w:val="left"/>
      </w:pPr>
      <w:r>
        <w:rPr>
          <w:rFonts w:ascii="Times New Roman" w:hAnsi="Times New Roman" w:eastAsia="Times New Roman"/>
          <w:b/>
          <w:i w:val="0"/>
          <w:sz w:val="24"/>
        </w:rPr>
        <w:t>Analysis-window context</w:t>
      </w:r>
    </w:p>
    <w:p>
      <w:pPr>
        <w:keepNext w:val="0"/>
        <w:spacing w:after="160" w:before="0" w:line="240" w:lineRule="auto"/>
        <w:ind w:firstLine="720"/>
        <w:jc w:val="both"/>
      </w:pPr>
      <w:r>
        <w:rPr>
          <w:rFonts w:ascii="Times New Roman" w:hAnsi="Times New Roman" w:eastAsia="Times New Roman"/>
          <w:b w:val="0"/>
          <w:i w:val="0"/>
          <w:sz w:val="24"/>
        </w:rPr>
        <w:t>Before 2020, mean temperature was inversely associated with both outcomes (CHD 0.980, 0.970–0.990; HF 0.945, 0.927–0.963). In the same 84 months, the HF hot-night estimate was 0.965 (0.937–0.994), while the HF cold-day estimate was 1.113 (1.053–1.176). Nine of the twelve Newey–West lag-6 intervals excluded 1 in that nested window, including all six continuous-temperature contrasts (Supplementary Table S2; Supplementary Figure S6). No multiplicity control was computed within that window. The panel is not a uniformly null monthly result, and the pre-2020 estimates are not promoted beyond sensitivity analyses.</w:t>
      </w:r>
    </w:p>
    <w:p>
      <w:pPr>
        <w:keepNext/>
        <w:spacing w:after="120" w:before="160" w:line="240" w:lineRule="auto"/>
        <w:ind w:firstLine="0"/>
        <w:jc w:val="left"/>
      </w:pPr>
      <w:r>
        <w:rPr>
          <w:rFonts w:ascii="Times New Roman" w:hAnsi="Times New Roman" w:eastAsia="Times New Roman"/>
          <w:b/>
          <w:i w:val="0"/>
          <w:sz w:val="24"/>
        </w:rPr>
        <w:t>Joint models, residuals, and influence</w:t>
      </w:r>
    </w:p>
    <w:p>
      <w:pPr>
        <w:keepNext w:val="0"/>
        <w:spacing w:after="160" w:before="0" w:line="240" w:lineRule="auto"/>
        <w:ind w:firstLine="720"/>
        <w:jc w:val="both"/>
      </w:pPr>
      <w:r>
        <w:rPr>
          <w:rFonts w:ascii="Times New Roman" w:hAnsi="Times New Roman" w:eastAsia="Times New Roman"/>
          <w:b w:val="0"/>
          <w:i w:val="0"/>
          <w:sz w:val="24"/>
        </w:rPr>
        <w:t xml:space="preserve">Pearson residual autocorrelation at lag 1 was 0.508 in the CHD hot-night model and 0.146 in the HF cold-day model. Ljung–Box tests at lag 6 gave </w:t>
      </w:r>
      <w:r>
        <w:rPr>
          <w:rFonts w:ascii="Times New Roman" w:hAnsi="Times New Roman" w:eastAsia="Times New Roman"/>
          <w:b w:val="0"/>
          <w:i/>
          <w:sz w:val="24"/>
        </w:rPr>
        <w:t>p</w:t>
      </w:r>
      <w:r>
        <w:rPr>
          <w:rFonts w:ascii="Times New Roman" w:hAnsi="Times New Roman" w:eastAsia="Times New Roman"/>
          <w:b w:val="0"/>
          <w:i w:val="0"/>
          <w:sz w:val="24"/>
        </w:rPr>
        <w:t xml:space="preserve"> &lt; 10</w:t>
      </w:r>
      <w:r>
        <w:rPr>
          <w:rFonts w:ascii="Times New Roman" w:hAnsi="Times New Roman" w:eastAsia="Times New Roman"/>
          <w:b w:val="0"/>
          <w:i w:val="0"/>
          <w:sz w:val="24"/>
          <w:vertAlign w:val="superscript"/>
        </w:rPr>
        <w:t>−7</w:t>
      </w:r>
      <w:r>
        <w:rPr>
          <w:rFonts w:ascii="Times New Roman" w:hAnsi="Times New Roman" w:eastAsia="Times New Roman"/>
          <w:b w:val="0"/>
          <w:i w:val="0"/>
          <w:sz w:val="24"/>
        </w:rPr>
        <w:t xml:space="preserve"> for every CHD Model 1 fit and </w:t>
      </w:r>
      <w:r>
        <w:rPr>
          <w:rFonts w:ascii="Times New Roman" w:hAnsi="Times New Roman" w:eastAsia="Times New Roman"/>
          <w:b w:val="0"/>
          <w:i/>
          <w:sz w:val="24"/>
        </w:rPr>
        <w:t>p</w:t>
      </w:r>
      <w:r>
        <w:rPr>
          <w:rFonts w:ascii="Times New Roman" w:hAnsi="Times New Roman" w:eastAsia="Times New Roman"/>
          <w:b w:val="0"/>
          <w:i w:val="0"/>
          <w:sz w:val="24"/>
        </w:rPr>
        <w:t xml:space="preserve"> &gt; 0.3 for every HF Model 1 fit. Serial dependence is therefore part of the CHD mean-model problem, not only an interval problem.</w:t>
      </w:r>
    </w:p>
    <w:p>
      <w:pPr>
        <w:keepNext w:val="0"/>
        <w:spacing w:after="160" w:before="0" w:line="240" w:lineRule="auto"/>
        <w:ind w:firstLine="720"/>
        <w:jc w:val="both"/>
      </w:pPr>
      <w:r>
        <w:rPr>
          <w:rFonts w:ascii="Times New Roman" w:hAnsi="Times New Roman" w:eastAsia="Times New Roman"/>
          <w:b w:val="0"/>
          <w:i w:val="0"/>
          <w:sz w:val="24"/>
        </w:rPr>
        <w:t>Across trend, window, and COVID-phase specifications, the CHD hot-night point estimate ranged from 1.011 to 1.025, and the HF cold-day estimate from 1.043 to 1.113 (Figure 3). February 2020 had the largest Cook’s distance for CHD; February 2022 did so for HF cold days. Excluding those months left the directions unchanged (CHD hot nights 1.021, 1.001–1.040; HF cold days 1.088, 1.034–1.144). Full lag, influence, collinearity, residual, and daily-recovery diagnostics are reported in Supplementary Tables S3–S8.</w:t>
      </w:r>
    </w:p>
    <w:p>
      <w:pPr>
        <w:keepNext/>
        <w:pageBreakBefore/>
        <w:spacing w:after="120" w:before="0" w:line="240" w:lineRule="auto"/>
        <w:ind w:firstLine="0"/>
        <w:jc w:val="left"/>
      </w:pPr>
      <w:r>
        <w:rPr>
          <w:rFonts w:ascii="Times New Roman" w:hAnsi="Times New Roman" w:eastAsia="Times New Roman"/>
          <w:b/>
          <w:i w:val="0"/>
          <w:sz w:val="28"/>
        </w:rPr>
        <w:t>Discussion</w:t>
      </w:r>
    </w:p>
    <w:p>
      <w:pPr>
        <w:keepNext w:val="0"/>
        <w:spacing w:after="160" w:before="0" w:line="240" w:lineRule="auto"/>
        <w:ind w:firstLine="720"/>
        <w:jc w:val="both"/>
      </w:pPr>
      <w:r>
        <w:rPr>
          <w:rFonts w:ascii="Times New Roman" w:hAnsi="Times New Roman" w:eastAsia="Times New Roman"/>
          <w:b w:val="0"/>
          <w:i w:val="0"/>
          <w:sz w:val="24"/>
        </w:rPr>
        <w:t xml:space="preserve">The principal result is sensitivity to the analysis window, not a pre/post effect. First-event counts had already fallen substantially by 2019, followed by a further trough in 2020. The cold-day point estimates were smaller in the full window than in the nested pre-2020 window. Because the 84-month window is contained in the full window, this comparison does not estimate a period contrast. The CHD hot-night interval excluded 1 only in the full window. No exposure-by-period interaction was fitted. All twelve full-window </w:t>
      </w:r>
      <w:r>
        <w:rPr>
          <w:rFonts w:ascii="Times New Roman" w:hAnsi="Times New Roman" w:eastAsia="Times New Roman"/>
          <w:b w:val="0"/>
          <w:i/>
          <w:sz w:val="24"/>
        </w:rPr>
        <w:t>q</w:t>
      </w:r>
      <w:r>
        <w:rPr>
          <w:rFonts w:ascii="Times New Roman" w:hAnsi="Times New Roman" w:eastAsia="Times New Roman"/>
          <w:b w:val="0"/>
          <w:i w:val="0"/>
          <w:sz w:val="24"/>
        </w:rPr>
        <w:t>-values exceeded 0.19.</w:t>
      </w:r>
    </w:p>
    <w:p>
      <w:pPr>
        <w:keepNext w:val="0"/>
        <w:spacing w:after="160" w:before="0" w:line="240" w:lineRule="auto"/>
        <w:ind w:firstLine="0"/>
        <w:jc w:val="both"/>
      </w:pPr>
      <w:r>
        <w:rPr>
          <w:rFonts w:ascii="Times New Roman" w:hAnsi="Times New Roman" w:eastAsia="Times New Roman"/>
          <w:b/>
          <w:i w:val="0"/>
          <w:sz w:val="24"/>
        </w:rPr>
        <w:t>Utilisation.</w:t>
      </w:r>
      <w:r>
        <w:rPr>
          <w:rFonts w:ascii="Times New Roman" w:hAnsi="Times New Roman" w:eastAsia="Times New Roman"/>
          <w:b w:val="0"/>
          <w:i w:val="0"/>
          <w:sz w:val="24"/>
        </w:rPr>
        <w:t xml:space="preserve"> Hong Kong studies reported fewer public hospitalisations and emergency-department visits in 2020, together with more cardiovascular or out-of-hospital deaths [34–36]. A public survey found avoidance of medical consultation [37]. Studies of ST-elevation myocardial infarction found delayed presentation and a worse in-hospital course [38,39]. These are care-seeking and system-shock patterns, not evidence of improved cardiovascular health. They cannot determine how much of the present count trajectory reflects delayed or avoided care.</w:t>
      </w:r>
    </w:p>
    <w:p>
      <w:pPr>
        <w:keepNext w:val="0"/>
        <w:spacing w:after="160" w:before="0" w:line="240" w:lineRule="auto"/>
        <w:ind w:firstLine="0"/>
        <w:jc w:val="both"/>
      </w:pPr>
      <w:r>
        <w:rPr>
          <w:rFonts w:ascii="Times New Roman" w:hAnsi="Times New Roman" w:eastAsia="Times New Roman"/>
          <w:b/>
          <w:i w:val="0"/>
          <w:sz w:val="24"/>
        </w:rPr>
        <w:t>First-event depletion.</w:t>
      </w:r>
      <w:r>
        <w:rPr>
          <w:rFonts w:ascii="Times New Roman" w:hAnsi="Times New Roman" w:eastAsia="Times New Roman"/>
          <w:b w:val="0"/>
          <w:i w:val="0"/>
          <w:sz w:val="24"/>
        </w:rPr>
        <w:t xml:space="preserve"> The outcome can occur only once after a person’s first CHD or HF diagnosis in the study window. People leave the risk set after that event. The decline in Figure 1 is therefore compatible with a shrinking still-at-risk population, but monthly person-time was unavailable [14]. General-population growth does not resolve that denominator problem.</w:t>
      </w:r>
    </w:p>
    <w:p>
      <w:pPr>
        <w:keepNext w:val="0"/>
        <w:spacing w:after="160" w:before="0" w:line="240" w:lineRule="auto"/>
        <w:ind w:firstLine="0"/>
        <w:jc w:val="both"/>
      </w:pPr>
      <w:r>
        <w:rPr>
          <w:rFonts w:ascii="Times New Roman" w:hAnsi="Times New Roman" w:eastAsia="Times New Roman"/>
          <w:b/>
          <w:i w:val="0"/>
          <w:sz w:val="24"/>
        </w:rPr>
        <w:t>Weather entanglement.</w:t>
      </w:r>
      <w:r>
        <w:rPr>
          <w:rFonts w:ascii="Times New Roman" w:hAnsi="Times New Roman" w:eastAsia="Times New Roman"/>
          <w:b w:val="0"/>
          <w:i w:val="0"/>
          <w:sz w:val="24"/>
        </w:rPr>
        <w:t xml:space="preserve"> The later period was hotter, whereas monthly cold-day frequency was similar. Hot nights rose in the same years in which care-seeking changed, and the CHD hot-night interval excluded 1 only when those years were included. Continuous-temperature and official-day estimates also differed in the nested window. The observed thermal encodings therefore do not supply a complete explanation for the count trajectory. They are not evidence that weather was irrelevant.</w:t>
      </w:r>
    </w:p>
    <w:p>
      <w:pPr>
        <w:keepNext w:val="0"/>
        <w:spacing w:after="160" w:before="0" w:line="240" w:lineRule="auto"/>
        <w:ind w:firstLine="720"/>
        <w:jc w:val="both"/>
      </w:pPr>
      <w:r>
        <w:rPr>
          <w:rFonts w:ascii="Times New Roman" w:hAnsi="Times New Roman" w:eastAsia="Times New Roman"/>
          <w:b w:val="0"/>
          <w:i w:val="0"/>
          <w:sz w:val="24"/>
        </w:rPr>
        <w:t>An immune-recovery explanation is not supported by this extract. Studies in Hong Kong have associated vaccination with lower cardiovascular risk after documented SARS-CoV-2 infection [42]. That is prevention of post-infection complications, not improvement in baseline first-event risk. Post-acute SARS-CoV-2 infection has instead been associated with higher cardiovascular risk [41]. Infection, vaccination, antibody levels, and laboratory measures were not in the monthly transfer.</w:t>
      </w:r>
    </w:p>
    <w:p>
      <w:pPr>
        <w:keepNext w:val="0"/>
        <w:spacing w:after="160" w:before="0" w:line="240" w:lineRule="auto"/>
        <w:ind w:firstLine="720"/>
        <w:jc w:val="both"/>
      </w:pPr>
      <w:r>
        <w:rPr>
          <w:rFonts w:ascii="Times New Roman" w:hAnsi="Times New Roman" w:eastAsia="Times New Roman"/>
          <w:b w:val="0"/>
          <w:i w:val="0"/>
          <w:sz w:val="24"/>
        </w:rPr>
        <w:t>Influenza transmission fell sharply during Hong Kong’s early pandemic interventions [40]. The archive influenza model covers 121 months and is not an adjusted Model 1 estimate (Supplementary Table S7). Pollution also declined across the decade [7]. Archive pollution models use a different joint-temperature specification and a population × days offset (Supplementary Table S9). Infection and pollution therefore remain unresolved co-exposures rather than explanations established by this analysis.</w:t>
      </w:r>
    </w:p>
    <w:p>
      <w:pPr>
        <w:keepNext w:val="0"/>
        <w:spacing w:after="160" w:before="0" w:line="240" w:lineRule="auto"/>
        <w:ind w:firstLine="720"/>
        <w:jc w:val="both"/>
      </w:pPr>
      <w:r>
        <w:rPr>
          <w:rFonts w:ascii="Times New Roman" w:hAnsi="Times New Roman" w:eastAsia="Times New Roman"/>
          <w:b w:val="0"/>
          <w:i w:val="0"/>
          <w:sz w:val="24"/>
        </w:rPr>
        <w:t>This result bears on a common interpretive failure in coarse first-event series. A lower observed count can reflect a smaller risk set or less hospital use. A smaller coefficient in a longer, nested window is not a period effect. A monthly official-day total also does not distinguish consecutive days from days scattered through the month. Five additional official days is a reporting scale, not a duration threshold.</w:t>
      </w:r>
    </w:p>
    <w:p>
      <w:pPr>
        <w:keepNext/>
        <w:pageBreakBefore/>
        <w:spacing w:after="120" w:before="0" w:line="240" w:lineRule="auto"/>
        <w:ind w:firstLine="0"/>
        <w:jc w:val="left"/>
      </w:pPr>
      <w:r>
        <w:rPr>
          <w:rFonts w:ascii="Times New Roman" w:hAnsi="Times New Roman" w:eastAsia="Times New Roman"/>
          <w:b/>
          <w:i w:val="0"/>
          <w:sz w:val="28"/>
        </w:rPr>
        <w:t>Strengths and limitations</w:t>
      </w:r>
    </w:p>
    <w:p>
      <w:pPr>
        <w:keepNext w:val="0"/>
        <w:spacing w:after="160" w:before="0" w:line="240" w:lineRule="auto"/>
        <w:ind w:firstLine="0"/>
        <w:jc w:val="both"/>
      </w:pPr>
      <w:r>
        <w:rPr>
          <w:rFonts w:ascii="Times New Roman" w:hAnsi="Times New Roman" w:eastAsia="Times New Roman"/>
          <w:b/>
          <w:i w:val="0"/>
          <w:sz w:val="24"/>
        </w:rPr>
        <w:t>Strengths.</w:t>
      </w:r>
      <w:r>
        <w:rPr>
          <w:rFonts w:ascii="Times New Roman" w:hAnsi="Times New Roman" w:eastAsia="Times New Roman"/>
          <w:b w:val="0"/>
          <w:i w:val="0"/>
          <w:sz w:val="24"/>
        </w:rPr>
        <w:t xml:space="preserve"> The count trajectory and thermal estimates are kept as separate objects. The full twelve-fit panel is reported, including all null and discordant estimates. Uncertainty is shown under four constructions. Figures 1–3 show the secular decline, the limited distribution of cold-day exposure, and sensitivity to the analysis window and time trend.</w:t>
      </w:r>
    </w:p>
    <w:p>
      <w:pPr>
        <w:keepNext w:val="0"/>
        <w:spacing w:after="160" w:before="0" w:line="240" w:lineRule="auto"/>
        <w:ind w:firstLine="0"/>
        <w:jc w:val="both"/>
      </w:pPr>
      <w:r>
        <w:rPr>
          <w:rFonts w:ascii="Times New Roman" w:hAnsi="Times New Roman" w:eastAsia="Times New Roman"/>
          <w:b/>
          <w:i w:val="0"/>
          <w:sz w:val="24"/>
        </w:rPr>
        <w:t>Limitations.</w:t>
      </w:r>
      <w:r>
        <w:rPr>
          <w:rFonts w:ascii="Times New Roman" w:hAnsi="Times New Roman" w:eastAsia="Times New Roman"/>
          <w:b w:val="0"/>
          <w:i w:val="0"/>
          <w:sz w:val="24"/>
        </w:rPr>
        <w:t xml:space="preserve"> Admission cause was not recorded, so an event is a first hospitalisation after a first diagnosis and not a cardiac-caused admission. Monthly still-at-risk person-time was unavailable; the estimates are count ratios rather than incidence-rate ratios [14]. Laboratory, infection, vaccination, age, sex, and disease-subtype series were not delivered. No exposure-by-period interaction or post-only Model 1 was fitted. The design is ecological and monthly, so individual and daily-trigger interpretations are not identified [14]. CHD residual serial correlation remained material (lag-1 autocorrelation 0.508). Only 29 of 132 months carried an official cold day. Exposure was assigned from one Observatory station. Confounding by pollution, humidity, rainfall, influenza, and changes in hospital use remains unresolved. Stroke was not available.</w:t>
      </w:r>
    </w:p>
    <w:p>
      <w:pPr>
        <w:keepNext/>
        <w:spacing w:after="120" w:before="240" w:line="240" w:lineRule="auto"/>
        <w:ind w:firstLine="0"/>
        <w:jc w:val="left"/>
      </w:pPr>
      <w:r>
        <w:rPr>
          <w:rFonts w:ascii="Times New Roman" w:hAnsi="Times New Roman" w:eastAsia="Times New Roman"/>
          <w:b/>
          <w:i w:val="0"/>
          <w:sz w:val="28"/>
        </w:rPr>
        <w:t>Conclusion</w:t>
      </w:r>
    </w:p>
    <w:p>
      <w:pPr>
        <w:keepNext w:val="0"/>
        <w:spacing w:after="160" w:before="0" w:line="240" w:lineRule="auto"/>
        <w:ind w:firstLine="720"/>
        <w:jc w:val="both"/>
      </w:pPr>
      <w:r>
        <w:rPr>
          <w:rFonts w:ascii="Times New Roman" w:hAnsi="Times New Roman" w:eastAsia="Times New Roman"/>
          <w:b w:val="0"/>
          <w:i w:val="0"/>
          <w:sz w:val="24"/>
        </w:rPr>
        <w:t>Monthly first CHD and HF hospitalisations declined across 2013–2023, with a further trough in 2020. Cold-day point estimates were larger in the nested pre-2020 window than in the full window. No period interaction or separate post-2020 Model 1 estimate was fitted. Later years were hotter, while cold-day frequency was similar. The thermal variables do not supply a complete explanation for the count trajectory. The data show analysis-window sensitivity and do not show improved cardiovascular health after COVID-19.</w:t>
      </w:r>
    </w:p>
    <w:p>
      <w:pPr>
        <w:keepNext/>
        <w:spacing w:after="120" w:before="240" w:line="240" w:lineRule="auto"/>
        <w:ind w:firstLine="0"/>
        <w:jc w:val="left"/>
      </w:pPr>
      <w:r>
        <w:rPr>
          <w:rFonts w:ascii="Times New Roman" w:hAnsi="Times New Roman" w:eastAsia="Times New Roman"/>
          <w:b/>
          <w:i w:val="0"/>
          <w:sz w:val="28"/>
        </w:rPr>
        <w:t>Declaration on the use of AI</w:t>
      </w:r>
    </w:p>
    <w:p>
      <w:pPr>
        <w:keepNext w:val="0"/>
        <w:spacing w:after="160" w:before="0" w:line="240" w:lineRule="auto"/>
        <w:ind w:firstLine="720"/>
        <w:jc w:val="both"/>
      </w:pPr>
      <w:r>
        <w:rPr>
          <w:rFonts w:ascii="Times New Roman" w:hAnsi="Times New Roman" w:eastAsia="Times New Roman"/>
          <w:b w:val="0"/>
          <w:i w:val="0"/>
          <w:sz w:val="24"/>
        </w:rPr>
        <w:t>AI-assisted tools were used for code scaffolding, methodological brainstorming, and review of potential data and modelling issues. Scientific claims and numerical results were checked against Hospital Authority monthly counts and the live weather paragraph.</w:t>
      </w:r>
    </w:p>
    <w:p>
      <w:pPr>
        <w:keepNext/>
        <w:spacing w:after="120" w:before="240" w:line="240" w:lineRule="auto"/>
        <w:ind w:firstLine="0"/>
        <w:jc w:val="left"/>
      </w:pPr>
      <w:r>
        <w:rPr>
          <w:rFonts w:ascii="Times New Roman" w:hAnsi="Times New Roman" w:eastAsia="Times New Roman"/>
          <w:b/>
          <w:i w:val="0"/>
          <w:sz w:val="28"/>
        </w:rPr>
        <w:t>Declaration of competing interest</w:t>
      </w:r>
    </w:p>
    <w:p>
      <w:pPr>
        <w:keepNext w:val="0"/>
        <w:spacing w:after="160" w:before="0" w:line="240" w:lineRule="auto"/>
        <w:ind w:firstLine="720"/>
        <w:jc w:val="both"/>
      </w:pPr>
      <w:r>
        <w:rPr>
          <w:rFonts w:ascii="Times New Roman" w:hAnsi="Times New Roman" w:eastAsia="Times New Roman"/>
          <w:b w:val="0"/>
          <w:i w:val="0"/>
          <w:sz w:val="24"/>
        </w:rPr>
        <w:t>The authors declare no competing interests.</w:t>
      </w:r>
    </w:p>
    <w:p>
      <w:pPr>
        <w:keepNext/>
        <w:spacing w:after="120" w:before="240" w:line="240" w:lineRule="auto"/>
        <w:ind w:firstLine="0"/>
        <w:jc w:val="left"/>
      </w:pPr>
      <w:r>
        <w:rPr>
          <w:rFonts w:ascii="Times New Roman" w:hAnsi="Times New Roman" w:eastAsia="Times New Roman"/>
          <w:b/>
          <w:i w:val="0"/>
          <w:sz w:val="28"/>
        </w:rPr>
        <w:t>Acknowledgements</w:t>
      </w:r>
    </w:p>
    <w:p>
      <w:pPr>
        <w:keepNext w:val="0"/>
        <w:spacing w:after="160" w:before="0" w:line="240" w:lineRule="auto"/>
        <w:ind w:firstLine="720"/>
        <w:jc w:val="both"/>
      </w:pPr>
      <w:r>
        <w:rPr>
          <w:rFonts w:ascii="Times New Roman" w:hAnsi="Times New Roman" w:eastAsia="Times New Roman"/>
          <w:b w:val="0"/>
          <w:i w:val="0"/>
          <w:sz w:val="24"/>
        </w:rPr>
        <w:t>None.</w:t>
      </w:r>
    </w:p>
    <w:p>
      <w:pPr>
        <w:keepNext/>
        <w:spacing w:after="120" w:before="240" w:line="240" w:lineRule="auto"/>
        <w:ind w:firstLine="0"/>
        <w:jc w:val="left"/>
      </w:pPr>
      <w:r>
        <w:rPr>
          <w:rFonts w:ascii="Times New Roman" w:hAnsi="Times New Roman" w:eastAsia="Times New Roman"/>
          <w:b/>
          <w:i w:val="0"/>
          <w:sz w:val="28"/>
        </w:rPr>
        <w:t>Data and code availability</w:t>
      </w:r>
    </w:p>
    <w:p>
      <w:pPr>
        <w:keepNext w:val="0"/>
        <w:spacing w:after="160" w:before="0" w:line="240" w:lineRule="auto"/>
        <w:ind w:firstLine="720"/>
        <w:jc w:val="both"/>
      </w:pPr>
      <w:r>
        <w:rPr>
          <w:rFonts w:ascii="Times New Roman" w:hAnsi="Times New Roman" w:eastAsia="Times New Roman"/>
          <w:b w:val="0"/>
          <w:i w:val="0"/>
          <w:sz w:val="24"/>
        </w:rPr>
        <w:t>Code is at https://github.com/bobshenruililin/Laidlaw-Heat-Project. Monthly hospital counts are not posted. What may be shared later depends on ethics approval.</w:t>
      </w:r>
    </w:p>
    <w:p>
      <w:pPr>
        <w:keepNext/>
        <w:pageBreakBefore/>
        <w:spacing w:after="120" w:before="0" w:line="240" w:lineRule="auto"/>
        <w:ind w:firstLine="0"/>
        <w:jc w:val="left"/>
      </w:pPr>
      <w:r>
        <w:rPr>
          <w:rFonts w:ascii="Times New Roman" w:hAnsi="Times New Roman" w:eastAsia="Times New Roman"/>
          <w:b/>
          <w:i w:val="0"/>
          <w:sz w:val="28"/>
        </w:rPr>
        <w:t>References</w:t>
      </w:r>
    </w:p>
    <w:p>
      <w:pPr>
        <w:spacing w:after="60" w:before="0" w:line="240" w:lineRule="auto"/>
        <w:ind w:left="425" w:hanging="425"/>
        <w:jc w:val="left"/>
      </w:pPr>
      <w:r>
        <w:rPr>
          <w:rFonts w:ascii="Times New Roman" w:hAnsi="Times New Roman" w:eastAsia="Times New Roman"/>
          <w:b w:val="0"/>
          <w:i w:val="0"/>
          <w:sz w:val="22"/>
        </w:rPr>
        <w:t xml:space="preserve">1. Goggins WB, Chan EYY, Yang CY. Weather, pollution, and acute myocardial infarction in Hong Kong and Taiwan. </w:t>
      </w:r>
      <w:r>
        <w:rPr>
          <w:rFonts w:ascii="Times New Roman" w:hAnsi="Times New Roman" w:eastAsia="Times New Roman"/>
          <w:b w:val="0"/>
          <w:i/>
          <w:sz w:val="22"/>
        </w:rPr>
        <w:t>Int J Cardiol</w:t>
      </w:r>
      <w:r>
        <w:rPr>
          <w:rFonts w:ascii="Times New Roman" w:hAnsi="Times New Roman" w:eastAsia="Times New Roman"/>
          <w:b w:val="0"/>
          <w:i w:val="0"/>
          <w:sz w:val="22"/>
        </w:rPr>
        <w:t xml:space="preserve">. 2013;168(1):243-249. doi:10.1016/j.ijcard.2012.09.087 2. Hong Kong Observatory. The Year's Weather — 2013. https://www.hko.gov.hk/en/wxinfo/pastwx/ywx2013.htm 3. Hong Kong Observatory. The Year's Weather — 2017. https://www.hko.gov.hk/en/wxinfo/pastwx/2017/ywx2017.htm 4. Hong Kong Observatory. The Year's Weather — 2021. https://www.hko.gov.hk/en/wxinfo/pastwx/2021/ywx2021.htm 5. Hong Kong Observatory. The Year's Weather — 2024. https://www.hko.gov.hk/en/wxinfo/pastwx/2024/ywx2024.htm 6. Hong Kong Observatory. Hong Kong Observatory Open Data. https://www.hko.gov.hk/en/abouthko/opendata_intro.htm 7. Environmental Protection Department. Environmental Protection Interactive Centre: Air Quality Data. https://cd.epic.epd.gov.hk/EPICDI/air/station/?lang=en 8. Census and Statistics Department. Population by Sex and Age Group (Table 110-01001). https://data.gov.hk/en-data/dataset/hk-censtatd-tablechart-110-01001 9. Ye X, Wolff R, Yu W, Vaneckova P, Pan X, Tong S. Ambient temperature and morbidity: a review of epidemiological evidence. </w:t>
      </w:r>
      <w:r>
        <w:rPr>
          <w:rFonts w:ascii="Times New Roman" w:hAnsi="Times New Roman" w:eastAsia="Times New Roman"/>
          <w:b w:val="0"/>
          <w:i/>
          <w:sz w:val="22"/>
        </w:rPr>
        <w:t>Environ Health Perspect</w:t>
      </w:r>
      <w:r>
        <w:rPr>
          <w:rFonts w:ascii="Times New Roman" w:hAnsi="Times New Roman" w:eastAsia="Times New Roman"/>
          <w:b w:val="0"/>
          <w:i w:val="0"/>
          <w:sz w:val="22"/>
        </w:rPr>
        <w:t xml:space="preserve">. 2012;120(1):19-28. doi:10.1289/ehp.1003198 10. Bhaskaran K, Gasparrini A, Hajat S, Smeeth L, Armstrong B. Time series regression studies in environmental epidemiology. </w:t>
      </w:r>
      <w:r>
        <w:rPr>
          <w:rFonts w:ascii="Times New Roman" w:hAnsi="Times New Roman" w:eastAsia="Times New Roman"/>
          <w:b w:val="0"/>
          <w:i/>
          <w:sz w:val="22"/>
        </w:rPr>
        <w:t>Int J Epidemiol</w:t>
      </w:r>
      <w:r>
        <w:rPr>
          <w:rFonts w:ascii="Times New Roman" w:hAnsi="Times New Roman" w:eastAsia="Times New Roman"/>
          <w:b w:val="0"/>
          <w:i w:val="0"/>
          <w:sz w:val="22"/>
        </w:rPr>
        <w:t xml:space="preserve">. 2013;42(4):1187-1195. doi:10.1093/ije/dyt092 11. Goggins WB, Woo J, Ho S, Chan EYY, Chau PH. Weather, season, and daily stroke admissions in Hong Kong. </w:t>
      </w:r>
      <w:r>
        <w:rPr>
          <w:rFonts w:ascii="Times New Roman" w:hAnsi="Times New Roman" w:eastAsia="Times New Roman"/>
          <w:b w:val="0"/>
          <w:i/>
          <w:sz w:val="22"/>
        </w:rPr>
        <w:t>Int J Biometeorol</w:t>
      </w:r>
      <w:r>
        <w:rPr>
          <w:rFonts w:ascii="Times New Roman" w:hAnsi="Times New Roman" w:eastAsia="Times New Roman"/>
          <w:b w:val="0"/>
          <w:i w:val="0"/>
          <w:sz w:val="22"/>
        </w:rPr>
        <w:t xml:space="preserve">. 2012;56(5):865-872. doi:10.1007/s00484-011-0491-9 12. Liu J, Hansen A, Varghese B, et al. Cause-specific mortality attributable to cold and hot ambient temperatures in Hong Kong: a time-series study, 2006–2016. </w:t>
      </w:r>
      <w:r>
        <w:rPr>
          <w:rFonts w:ascii="Times New Roman" w:hAnsi="Times New Roman" w:eastAsia="Times New Roman"/>
          <w:b w:val="0"/>
          <w:i/>
          <w:sz w:val="22"/>
        </w:rPr>
        <w:t>Sustain Cities Soc</w:t>
      </w:r>
      <w:r>
        <w:rPr>
          <w:rFonts w:ascii="Times New Roman" w:hAnsi="Times New Roman" w:eastAsia="Times New Roman"/>
          <w:b w:val="0"/>
          <w:i w:val="0"/>
          <w:sz w:val="22"/>
        </w:rPr>
        <w:t xml:space="preserve">. 2020;57:102131. doi:10.1016/j.scs.2020.102131 13. Liu Z, Ren C, Liu J, Kawasaki Y, Bishai DM. Modelling the excess mortality associated with heat waves in Hong Kong: 2014–2023. medRxiv. 2026. doi:10.64898/2026.03.05.26347683 14. Greenland S, Morgenstern H. Ecological bias, confounding, and effect modification. </w:t>
      </w:r>
      <w:r>
        <w:rPr>
          <w:rFonts w:ascii="Times New Roman" w:hAnsi="Times New Roman" w:eastAsia="Times New Roman"/>
          <w:b w:val="0"/>
          <w:i/>
          <w:sz w:val="22"/>
        </w:rPr>
        <w:t>Int J Epidemiol</w:t>
      </w:r>
      <w:r>
        <w:rPr>
          <w:rFonts w:ascii="Times New Roman" w:hAnsi="Times New Roman" w:eastAsia="Times New Roman"/>
          <w:b w:val="0"/>
          <w:i w:val="0"/>
          <w:sz w:val="22"/>
        </w:rPr>
        <w:t xml:space="preserve">. 1989;18(1):269-274. doi:10.1093/ije/18.1.269 15. Basagaña X, Ballester J. Unbiased temperature-related mortality estimates using weekly and monthly health data: a new method for environmental epidemiology and climate impact studies. </w:t>
      </w:r>
      <w:r>
        <w:rPr>
          <w:rFonts w:ascii="Times New Roman" w:hAnsi="Times New Roman" w:eastAsia="Times New Roman"/>
          <w:b w:val="0"/>
          <w:i/>
          <w:sz w:val="22"/>
        </w:rPr>
        <w:t>Lancet Planet Health</w:t>
      </w:r>
      <w:r>
        <w:rPr>
          <w:rFonts w:ascii="Times New Roman" w:hAnsi="Times New Roman" w:eastAsia="Times New Roman"/>
          <w:b w:val="0"/>
          <w:i w:val="0"/>
          <w:sz w:val="22"/>
        </w:rPr>
        <w:t xml:space="preserve">. 2024;8(10):e766-e777. doi:10.1016/S2542-5196(24)00212-2 16. Basagaña X, Ballester J. Unbiased estimates using temporally aggregated outcome data in time series analysis: generalization to different outcomes, exposures, and types of aggregation. </w:t>
      </w:r>
      <w:r>
        <w:rPr>
          <w:rFonts w:ascii="Times New Roman" w:hAnsi="Times New Roman" w:eastAsia="Times New Roman"/>
          <w:b w:val="0"/>
          <w:i/>
          <w:sz w:val="22"/>
        </w:rPr>
        <w:t>Epidemiology</w:t>
      </w:r>
      <w:r>
        <w:rPr>
          <w:rFonts w:ascii="Times New Roman" w:hAnsi="Times New Roman" w:eastAsia="Times New Roman"/>
          <w:b w:val="0"/>
          <w:i w:val="0"/>
          <w:sz w:val="22"/>
        </w:rPr>
        <w:t xml:space="preserve">. 2026;37(1):16-20. doi:10.1097/EDE.0000000000001923 17. Guo YT, Chan KH, Qiu H, Wong ELY, Ho KF. The risk of hospitalization associated with hot nights and excess nighttime heat in a subtropical metropolis: a time-series study in Hong Kong, 2000–2019. </w:t>
      </w:r>
      <w:r>
        <w:rPr>
          <w:rFonts w:ascii="Times New Roman" w:hAnsi="Times New Roman" w:eastAsia="Times New Roman"/>
          <w:b w:val="0"/>
          <w:i/>
          <w:sz w:val="22"/>
        </w:rPr>
        <w:t>Lancet Reg Health West Pac</w:t>
      </w:r>
      <w:r>
        <w:rPr>
          <w:rFonts w:ascii="Times New Roman" w:hAnsi="Times New Roman" w:eastAsia="Times New Roman"/>
          <w:b w:val="0"/>
          <w:i w:val="0"/>
          <w:sz w:val="22"/>
        </w:rPr>
        <w:t xml:space="preserve">. 2024;51:101168. doi:10.1016/j.lanwpc.2024.101168 18. Yang Z, Wei Y, Jiang X, et al. Association of cold weather and influenza infection with stroke: a 22-year time-series analysis. </w:t>
      </w:r>
      <w:r>
        <w:rPr>
          <w:rFonts w:ascii="Times New Roman" w:hAnsi="Times New Roman" w:eastAsia="Times New Roman"/>
          <w:b w:val="0"/>
          <w:i/>
          <w:sz w:val="22"/>
        </w:rPr>
        <w:t>Int J Biometeorol</w:t>
      </w:r>
      <w:r>
        <w:rPr>
          <w:rFonts w:ascii="Times New Roman" w:hAnsi="Times New Roman" w:eastAsia="Times New Roman"/>
          <w:b w:val="0"/>
          <w:i w:val="0"/>
          <w:sz w:val="22"/>
        </w:rPr>
        <w:t xml:space="preserve">. 2025;69(5):963-973. doi:10.1007/s00484-025-02870-2 19. Newey WK, West KD. A simple, positive semi-definite, heteroskedasticity and autocorrelation consistent covariance matrix. </w:t>
      </w:r>
      <w:r>
        <w:rPr>
          <w:rFonts w:ascii="Times New Roman" w:hAnsi="Times New Roman" w:eastAsia="Times New Roman"/>
          <w:b w:val="0"/>
          <w:i/>
          <w:sz w:val="22"/>
        </w:rPr>
        <w:t>Econometrica</w:t>
      </w:r>
      <w:r>
        <w:rPr>
          <w:rFonts w:ascii="Times New Roman" w:hAnsi="Times New Roman" w:eastAsia="Times New Roman"/>
          <w:b w:val="0"/>
          <w:i w:val="0"/>
          <w:sz w:val="22"/>
        </w:rPr>
        <w:t xml:space="preserve">. 1987;55(3):703-708. doi:10.2307/1913610 20. Benjamini Y, Hochberg Y. Controlling the false discovery rate: a practical and powerful approach to multiple testing. </w:t>
      </w:r>
      <w:r>
        <w:rPr>
          <w:rFonts w:ascii="Times New Roman" w:hAnsi="Times New Roman" w:eastAsia="Times New Roman"/>
          <w:b w:val="0"/>
          <w:i/>
          <w:sz w:val="22"/>
        </w:rPr>
        <w:t>J R Stat Soc Series B</w:t>
      </w:r>
      <w:r>
        <w:rPr>
          <w:rFonts w:ascii="Times New Roman" w:hAnsi="Times New Roman" w:eastAsia="Times New Roman"/>
          <w:b w:val="0"/>
          <w:i w:val="0"/>
          <w:sz w:val="22"/>
        </w:rPr>
        <w:t xml:space="preserve">. 1995;57(1):289-300. doi:10.1111/j.2517-6161.1995.tb02031.x 21. Goggins WB, Chan EYY. A study of the short-term associations between hospital admissions and mortality from heart failure and meteorological variables in Hong Kong. </w:t>
      </w:r>
      <w:r>
        <w:rPr>
          <w:rFonts w:ascii="Times New Roman" w:hAnsi="Times New Roman" w:eastAsia="Times New Roman"/>
          <w:b w:val="0"/>
          <w:i/>
          <w:sz w:val="22"/>
        </w:rPr>
        <w:t>Int J Cardiol</w:t>
      </w:r>
      <w:r>
        <w:rPr>
          <w:rFonts w:ascii="Times New Roman" w:hAnsi="Times New Roman" w:eastAsia="Times New Roman"/>
          <w:b w:val="0"/>
          <w:i w:val="0"/>
          <w:sz w:val="22"/>
        </w:rPr>
        <w:t xml:space="preserve">. 2017;228:537-542. doi:10.1016/j.ijcard.2016.11.106 22. Chan EYY, Goggins WB, Yue JSK, Lee P. Hospital admissions as a function of temperature, other weather phenomena and pollution levels in an urban setting in China. </w:t>
      </w:r>
      <w:r>
        <w:rPr>
          <w:rFonts w:ascii="Times New Roman" w:hAnsi="Times New Roman" w:eastAsia="Times New Roman"/>
          <w:b w:val="0"/>
          <w:i/>
          <w:sz w:val="22"/>
        </w:rPr>
        <w:t>Bull World Health Organ</w:t>
      </w:r>
      <w:r>
        <w:rPr>
          <w:rFonts w:ascii="Times New Roman" w:hAnsi="Times New Roman" w:eastAsia="Times New Roman"/>
          <w:b w:val="0"/>
          <w:i w:val="0"/>
          <w:sz w:val="22"/>
        </w:rPr>
        <w:t xml:space="preserve">. 2013;91(8):576-584. doi:10.2471/BLT.12.113035 23. Chevance G, Minor K, Vielma C, et al. A systematic review of ambient heat and sleep in a warming climate. </w:t>
      </w:r>
      <w:r>
        <w:rPr>
          <w:rFonts w:ascii="Times New Roman" w:hAnsi="Times New Roman" w:eastAsia="Times New Roman"/>
          <w:b w:val="0"/>
          <w:i/>
          <w:sz w:val="22"/>
        </w:rPr>
        <w:t>Sleep Med Rev</w:t>
      </w:r>
      <w:r>
        <w:rPr>
          <w:rFonts w:ascii="Times New Roman" w:hAnsi="Times New Roman" w:eastAsia="Times New Roman"/>
          <w:b w:val="0"/>
          <w:i w:val="0"/>
          <w:sz w:val="22"/>
        </w:rPr>
        <w:t xml:space="preserve">. 2024;75:101915. doi:10.1016/j.smrv.2024.101915 24. Ioannou LG, Tsoutsoubi L, Mantzios K, et al. Impact of a simulated multiday heatwave on nocturnal physiology, behavior, and sleep: a 10-day confinement study. </w:t>
      </w:r>
      <w:r>
        <w:rPr>
          <w:rFonts w:ascii="Times New Roman" w:hAnsi="Times New Roman" w:eastAsia="Times New Roman"/>
          <w:b w:val="0"/>
          <w:i/>
          <w:sz w:val="22"/>
        </w:rPr>
        <w:t>Appl Physiol Nutr Metab</w:t>
      </w:r>
      <w:r>
        <w:rPr>
          <w:rFonts w:ascii="Times New Roman" w:hAnsi="Times New Roman" w:eastAsia="Times New Roman"/>
          <w:b w:val="0"/>
          <w:i w:val="0"/>
          <w:sz w:val="22"/>
        </w:rPr>
        <w:t xml:space="preserve">. 2024;49:1394-1408. doi:10.1139/apnm-2024-0105 25. O’Connor FK, Bach AJE, Forbes C, et al. Effect of nighttime bedroom temperature on heart rate variability in older adults: an observational study. </w:t>
      </w:r>
      <w:r>
        <w:rPr>
          <w:rFonts w:ascii="Times New Roman" w:hAnsi="Times New Roman" w:eastAsia="Times New Roman"/>
          <w:b w:val="0"/>
          <w:i/>
          <w:sz w:val="22"/>
        </w:rPr>
        <w:t>BMC Med</w:t>
      </w:r>
      <w:r>
        <w:rPr>
          <w:rFonts w:ascii="Times New Roman" w:hAnsi="Times New Roman" w:eastAsia="Times New Roman"/>
          <w:b w:val="0"/>
          <w:i w:val="0"/>
          <w:sz w:val="22"/>
        </w:rPr>
        <w:t xml:space="preserve">. 2025;23:703. doi:10.1186/s12916-025-04513-0 26. Ashe N, Wozniak S, Conner M, et al. Association of extreme heat events with sleep and cardiovascular health: a scoping review. </w:t>
      </w:r>
      <w:r>
        <w:rPr>
          <w:rFonts w:ascii="Times New Roman" w:hAnsi="Times New Roman" w:eastAsia="Times New Roman"/>
          <w:b w:val="0"/>
          <w:i/>
          <w:sz w:val="22"/>
        </w:rPr>
        <w:t>Syst Rev</w:t>
      </w:r>
      <w:r>
        <w:rPr>
          <w:rFonts w:ascii="Times New Roman" w:hAnsi="Times New Roman" w:eastAsia="Times New Roman"/>
          <w:b w:val="0"/>
          <w:i w:val="0"/>
          <w:sz w:val="22"/>
        </w:rPr>
        <w:t xml:space="preserve">. 2025;14:19. doi:10.1186/s13643-024-02742-7 27. Ikäheimo TM. Cardiovascular diseases, cold exposure and exercise. </w:t>
      </w:r>
      <w:r>
        <w:rPr>
          <w:rFonts w:ascii="Times New Roman" w:hAnsi="Times New Roman" w:eastAsia="Times New Roman"/>
          <w:b w:val="0"/>
          <w:i/>
          <w:sz w:val="22"/>
        </w:rPr>
        <w:t>Temperature (Austin)</w:t>
      </w:r>
      <w:r>
        <w:rPr>
          <w:rFonts w:ascii="Times New Roman" w:hAnsi="Times New Roman" w:eastAsia="Times New Roman"/>
          <w:b w:val="0"/>
          <w:i w:val="0"/>
          <w:sz w:val="22"/>
        </w:rPr>
        <w:t xml:space="preserve">. 2018;5(2):123-146. doi:10.1080/23328940.2017.1414014 28. Li Y, Wu J, Xu Y, et al. Cold exposure and the cardiovascular system: from physiological adaptation to pathological risk. </w:t>
      </w:r>
      <w:r>
        <w:rPr>
          <w:rFonts w:ascii="Times New Roman" w:hAnsi="Times New Roman" w:eastAsia="Times New Roman"/>
          <w:b w:val="0"/>
          <w:i/>
          <w:sz w:val="22"/>
        </w:rPr>
        <w:t>Front Physiol</w:t>
      </w:r>
      <w:r>
        <w:rPr>
          <w:rFonts w:ascii="Times New Roman" w:hAnsi="Times New Roman" w:eastAsia="Times New Roman"/>
          <w:b w:val="0"/>
          <w:i w:val="0"/>
          <w:sz w:val="22"/>
        </w:rPr>
        <w:t xml:space="preserve">. 2026;16:1740919. doi:10.3389/fphys.2025.1740919 29. WHO Regional Office for Europe. </w:t>
      </w:r>
      <w:r>
        <w:rPr>
          <w:rFonts w:ascii="Times New Roman" w:hAnsi="Times New Roman" w:eastAsia="Times New Roman"/>
          <w:b w:val="0"/>
          <w:i/>
          <w:sz w:val="22"/>
        </w:rPr>
        <w:t>Heat–health action plans: guidance</w:t>
      </w:r>
      <w:r>
        <w:rPr>
          <w:rFonts w:ascii="Times New Roman" w:hAnsi="Times New Roman" w:eastAsia="Times New Roman"/>
          <w:b w:val="0"/>
          <w:i w:val="0"/>
          <w:sz w:val="22"/>
        </w:rPr>
        <w:t xml:space="preserve">. 2nd ed. Copenhagen: WHO Regional Office for Europe; 2026. ISBN 9789289062930. https://www.who.int/europe/publications/i/item/9789289062930 30. Chong SN, Law HF. Beware of Health Effects of Extremely Hot Weather. Hong Kong Observatory. December 2023. https://www.hko.gov.hk/en/education/weather/hot-and-cold-weather/00706-Beware-of-Health-Effects-of-Extremely-Hot-Weather.html 31. Hong Kong Observatory. Cold and Very Hot Weather Warnings. https://www.hko.gov.hk/en/wservice/warning/coldhot.htm 32. Centre for Health Protection. Beware of Heat Stroke. 11 August 2025. https://www.chp.gov.hk/en/static/90064.html 33. Home Affairs Department. Emergency Relief Services: temporary heat shelters. https://www.had.gov.hk/en/public_services/emergency_services/emergency.htm 34. Xin H, Wu P, Wong JY, et al. Hospitalizations and mortality during the first year of the COVID-19 pandemic in Hong Kong, China: an observational study. </w:t>
      </w:r>
      <w:r>
        <w:rPr>
          <w:rFonts w:ascii="Times New Roman" w:hAnsi="Times New Roman" w:eastAsia="Times New Roman"/>
          <w:b w:val="0"/>
          <w:i/>
          <w:sz w:val="22"/>
        </w:rPr>
        <w:t>Lancet Reg Health West Pac</w:t>
      </w:r>
      <w:r>
        <w:rPr>
          <w:rFonts w:ascii="Times New Roman" w:hAnsi="Times New Roman" w:eastAsia="Times New Roman"/>
          <w:b w:val="0"/>
          <w:i w:val="0"/>
          <w:sz w:val="22"/>
        </w:rPr>
        <w:t xml:space="preserve">. 2023;30:100645. doi:10.1016/j.lanwpc.2022.100645 35. Wai AKC, Wong CKH, Wong JYH, et al. Changes in emergency department visits, diagnostic groups, and 28-day mortality associated with the COVID-19 pandemic. </w:t>
      </w:r>
      <w:r>
        <w:rPr>
          <w:rFonts w:ascii="Times New Roman" w:hAnsi="Times New Roman" w:eastAsia="Times New Roman"/>
          <w:b w:val="0"/>
          <w:i/>
          <w:sz w:val="22"/>
        </w:rPr>
        <w:t>Ann Emerg Med</w:t>
      </w:r>
      <w:r>
        <w:rPr>
          <w:rFonts w:ascii="Times New Roman" w:hAnsi="Times New Roman" w:eastAsia="Times New Roman"/>
          <w:b w:val="0"/>
          <w:i w:val="0"/>
          <w:sz w:val="22"/>
        </w:rPr>
        <w:t xml:space="preserve">. 2022;79(2):148-157. doi:10.1016/j.annemergmed.2021.09.424 36. Wai AKC, Yip TF, Wong YH, et al. The effect of the COVID-19 pandemic on non–COVID-19 deaths: a cohort study. </w:t>
      </w:r>
      <w:r>
        <w:rPr>
          <w:rFonts w:ascii="Times New Roman" w:hAnsi="Times New Roman" w:eastAsia="Times New Roman"/>
          <w:b w:val="0"/>
          <w:i/>
          <w:sz w:val="22"/>
        </w:rPr>
        <w:t>JMIR Public Health Surveill</w:t>
      </w:r>
      <w:r>
        <w:rPr>
          <w:rFonts w:ascii="Times New Roman" w:hAnsi="Times New Roman" w:eastAsia="Times New Roman"/>
          <w:b w:val="0"/>
          <w:i w:val="0"/>
          <w:sz w:val="22"/>
        </w:rPr>
        <w:t xml:space="preserve">. 2024;10:e41792. doi:10.2196/41792 37. Hung KK, Walline JH, Chan EYY, et al. Health service utilization in Hong Kong during the COVID-19 pandemic: a cross-sectional public survey. </w:t>
      </w:r>
      <w:r>
        <w:rPr>
          <w:rFonts w:ascii="Times New Roman" w:hAnsi="Times New Roman" w:eastAsia="Times New Roman"/>
          <w:b w:val="0"/>
          <w:i/>
          <w:sz w:val="22"/>
        </w:rPr>
        <w:t>Int J Health Policy Manag</w:t>
      </w:r>
      <w:r>
        <w:rPr>
          <w:rFonts w:ascii="Times New Roman" w:hAnsi="Times New Roman" w:eastAsia="Times New Roman"/>
          <w:b w:val="0"/>
          <w:i w:val="0"/>
          <w:sz w:val="22"/>
        </w:rPr>
        <w:t xml:space="preserve">. 2022;11(4):508-513. doi:10.34172/ijhpm.2020.183 38. Tam CCF, Cheung KS, Lam S, et al. Impact of coronavirus disease 2019 (COVID-19) outbreak on ST-segment–elevation myocardial infarction care in Hong Kong, China. </w:t>
      </w:r>
      <w:r>
        <w:rPr>
          <w:rFonts w:ascii="Times New Roman" w:hAnsi="Times New Roman" w:eastAsia="Times New Roman"/>
          <w:b w:val="0"/>
          <w:i/>
          <w:sz w:val="22"/>
        </w:rPr>
        <w:t>Circ Cardiovasc Qual Outcomes</w:t>
      </w:r>
      <w:r>
        <w:rPr>
          <w:rFonts w:ascii="Times New Roman" w:hAnsi="Times New Roman" w:eastAsia="Times New Roman"/>
          <w:b w:val="0"/>
          <w:i w:val="0"/>
          <w:sz w:val="22"/>
        </w:rPr>
        <w:t xml:space="preserve">. 2020;13(4):e006631. doi:10.1161/CIRCOUTCOMES.120.006631 39. Tam CCF, Cheung KS, Lam S, et al. Impact of coronavirus disease 2019 (COVID-19) outbreak on outcome of myocardial infarction in Hong Kong, China. </w:t>
      </w:r>
      <w:r>
        <w:rPr>
          <w:rFonts w:ascii="Times New Roman" w:hAnsi="Times New Roman" w:eastAsia="Times New Roman"/>
          <w:b w:val="0"/>
          <w:i/>
          <w:sz w:val="22"/>
        </w:rPr>
        <w:t>Catheter Cardiovasc Interv</w:t>
      </w:r>
      <w:r>
        <w:rPr>
          <w:rFonts w:ascii="Times New Roman" w:hAnsi="Times New Roman" w:eastAsia="Times New Roman"/>
          <w:b w:val="0"/>
          <w:i w:val="0"/>
          <w:sz w:val="22"/>
        </w:rPr>
        <w:t xml:space="preserve">. 2021;97(2):E194-E197. doi:10.1002/ccd.28943 40. Cowling BJ, Ali ST, Ng TWY, et al. Impact assessment of non-pharmaceutical interventions against coronavirus disease 2019 and influenza in Hong Kong: an observational study. </w:t>
      </w:r>
      <w:r>
        <w:rPr>
          <w:rFonts w:ascii="Times New Roman" w:hAnsi="Times New Roman" w:eastAsia="Times New Roman"/>
          <w:b w:val="0"/>
          <w:i/>
          <w:sz w:val="22"/>
        </w:rPr>
        <w:t>Lancet Public Health</w:t>
      </w:r>
      <w:r>
        <w:rPr>
          <w:rFonts w:ascii="Times New Roman" w:hAnsi="Times New Roman" w:eastAsia="Times New Roman"/>
          <w:b w:val="0"/>
          <w:i w:val="0"/>
          <w:sz w:val="22"/>
        </w:rPr>
        <w:t xml:space="preserve">. 2020;5(5):e279-e288. doi:10.1016/S2468-2667(20)30090-6 41. Xie Y, Xu E, Bowe B, Al-Aly Z. Long-term cardiovascular outcomes of COVID-19. </w:t>
      </w:r>
      <w:r>
        <w:rPr>
          <w:rFonts w:ascii="Times New Roman" w:hAnsi="Times New Roman" w:eastAsia="Times New Roman"/>
          <w:b w:val="0"/>
          <w:i/>
          <w:sz w:val="22"/>
        </w:rPr>
        <w:t>Nat Med</w:t>
      </w:r>
      <w:r>
        <w:rPr>
          <w:rFonts w:ascii="Times New Roman" w:hAnsi="Times New Roman" w:eastAsia="Times New Roman"/>
          <w:b w:val="0"/>
          <w:i w:val="0"/>
          <w:sz w:val="22"/>
        </w:rPr>
        <w:t xml:space="preserve">. 2022;28:583-590. doi:10.1038/s41591-022-01689-3 42. Wan EYF, Mathur S, Zhang R, et al. Association between BNT162b2 and CoronaVac vaccination and risk of CVD and mortality after COVID-19 infection: a population-based cohort study. </w:t>
      </w:r>
      <w:r>
        <w:rPr>
          <w:rFonts w:ascii="Times New Roman" w:hAnsi="Times New Roman" w:eastAsia="Times New Roman"/>
          <w:b w:val="0"/>
          <w:i/>
          <w:sz w:val="22"/>
        </w:rPr>
        <w:t>Cell Rep Med</w:t>
      </w:r>
      <w:r>
        <w:rPr>
          <w:rFonts w:ascii="Times New Roman" w:hAnsi="Times New Roman" w:eastAsia="Times New Roman"/>
          <w:b w:val="0"/>
          <w:i w:val="0"/>
          <w:sz w:val="22"/>
        </w:rPr>
        <w:t>. 2023;4(10):101195. doi:10.1016/j.xcrm.2023.101195</w:t>
      </w:r>
    </w:p>
    <w:sectPr w:rsidR="00FC693F" w:rsidRPr="0006063C" w:rsidSect="00034616">
      <w:headerReference w:type="default" r:id="rId9"/>
      <w:pgSz w:w="11906" w:h="16838"/>
      <w:pgMar w:top="1440" w:right="1440" w:bottom="1440" w:left="1440" w:header="709" w:footer="709"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Bob Shen" w:initials="BS" w:date="2026-09-10T13:59:50Z">
    <w:p>
      <w:pPr>
        <w:pStyle w:val="CommentText"/>
      </w:pPr>
      <w:r>
        <w:rPr>
          <w:rStyle w:val="CommentReference"/>
        </w:rPr>
        <w:annotationRef/>
      </w:r>
      <w:r>
        <w:t>Author order after the first and last positions remains for Professor Bishai and the team to confirm.</w:t>
      </w:r>
    </w:p>
  </w:comment>
  <w:comment w:id="1" w:author="Bob Shen" w:initials="BS" w:date="2026-09-10T13:59:50Z">
    <w:p>
      <w:pPr>
        <w:pStyle w:val="CommentText"/>
      </w:pPr>
      <w:r>
        <w:rPr>
          <w:rStyle w:val="CommentReference"/>
        </w:rPr>
        <w:annotationRef/>
      </w:r>
      <w:r>
        <w:t>The pre-2020 fit is a nested-window sensitivity. No 2020–2023-only Model 1 or exposure-by-period interaction is reported.</w:t>
      </w:r>
    </w:p>
  </w:comment>
  <w:comment w:id="2" w:author="Bob Shen" w:initials="BS" w:date="2026-09-10T13:59:50Z">
    <w:p>
      <w:pPr>
        <w:pStyle w:val="CommentText"/>
      </w:pPr>
      <w:r>
        <w:rPr>
          <w:rStyle w:val="CommentReference"/>
        </w:rPr>
        <w:annotationRef/>
      </w:r>
      <w:r>
        <w:t>Professor Bishai should replace the IRB placeholder UW XX-XXX with the approved reference before submission.</w:t>
      </w:r>
    </w:p>
  </w:comment>
  <w:comment w:id="3" w:author="Bob Shen" w:initials="BS" w:date="2026-09-10T13:59:50Z">
    <w:p>
      <w:pPr>
        <w:pStyle w:val="CommentText"/>
      </w:pPr>
      <w:r>
        <w:rPr>
          <w:rStyle w:val="CommentReference"/>
        </w:rPr>
        <w:annotationRef/>
      </w:r>
      <w:r>
        <w:t>Roro should confirm the written ICD inclusion list, first-event timing, and inpatient-versus-DAE construction before submission.</w:t>
      </w:r>
    </w:p>
  </w:comment>
  <w:comment w:id="4" w:author="Bob Shen" w:initials="BS" w:date="2026-09-10T13:59:50Z">
    <w:p>
      <w:pPr>
        <w:pStyle w:val="CommentText"/>
      </w:pPr>
      <w:r>
        <w:rPr>
          <w:rStyle w:val="CommentReference"/>
        </w:rPr>
        <w:annotationRef/>
      </w:r>
      <w:r>
        <w:t>Laboratory, infection, vaccination, and serology fields require a new governed extract if Professor Bishai opens that scope.</w:t>
      </w:r>
    </w:p>
  </w:comment>
  <w:comment w:id="5" w:author="Bob Shen" w:initials="BS" w:date="2026-09-10T13:59:50Z">
    <w:p>
      <w:pPr>
        <w:pStyle w:val="CommentText"/>
      </w:pPr>
      <w:r>
        <w:rPr>
          <w:rStyle w:val="CommentReference"/>
        </w:rPr>
        <w:annotationRef/>
      </w:r>
      <w:r>
        <w:t>Hogan's meteorological wording is retained verbatim, including the averaging sentence.</w:t>
      </w:r>
    </w:p>
  </w:comment>
  <w:comment w:id="6" w:author="Bob Shen" w:initials="BS" w:date="2026-09-10T13:59:50Z">
    <w:p>
      <w:pPr>
        <w:pStyle w:val="CommentText"/>
      </w:pPr>
      <w:r>
        <w:rPr>
          <w:rStyle w:val="CommentReference"/>
        </w:rPr>
        <w:annotationRef/>
      </w:r>
      <w:r>
        <w:t>Model 2 and Model 3 are specified; no new coefficients are added because the governed panels are not present here.</w:t>
      </w:r>
    </w:p>
  </w:comment>
  <w:comment w:id="7" w:author="Bob Shen" w:initials="BS" w:date="2026-09-10T13:59:50Z">
    <w:p>
      <w:pPr>
        <w:pStyle w:val="CommentText"/>
      </w:pPr>
      <w:r>
        <w:rPr>
          <w:rStyle w:val="CommentReference"/>
        </w:rPr>
        <w:annotationRef/>
      </w:r>
      <w:r>
        <w:t>The two windows are nested. Interval overlap is not a formal test of coefficient difference.</w:t>
      </w:r>
    </w:p>
  </w:comment>
  <w:comment w:id="8" w:author="Bob Shen" w:initials="BS" w:date="2026-09-10T13:59:50Z">
    <w:p>
      <w:pPr>
        <w:pStyle w:val="CommentText"/>
      </w:pPr>
      <w:r>
        <w:rPr>
          <w:rStyle w:val="CommentReference"/>
        </w:rPr>
        <w:annotationRef/>
      </w:r>
      <w:r>
        <w:t>The pre-2020 window is contained in the full window. These are sensitivity fits, not independent period estimates.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left"/>
      <w:tabs>
        <w:tab w:val="right" w:pos="9360"/>
      </w:tabs>
    </w:pPr>
    <w:r>
      <w:rPr>
        <w:rFonts w:ascii="Times New Roman" w:hAnsi="Times New Roman" w:eastAsia="Times New Roman"/>
        <w:b w:val="0"/>
        <w:i/>
        <w:color w:val="555555"/>
        <w:sz w:val="20"/>
      </w:rPr>
      <w:t>Window sensitivity of first CHD/HF hospitalisation</w:t>
    </w:r>
    <w:r>
      <w:rPr>
        <w:rFonts w:ascii="Times New Roman" w:hAnsi="Times New Roman" w:eastAsia="Times New Roman"/>
        <w:b w:val="0"/>
        <w:i w:val="0"/>
        <w:sz w:val="20"/>
      </w:rPr>
      <w:tab/>
    </w:r>
    <w:r>
      <w:rPr>
        <w:rFonts w:ascii="Times New Roman" w:hAnsi="Times New Roman" w:eastAsia="Times New Roman"/>
        <w:b w:val="0"/>
        <w:i/>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