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records more hot nights and very hot days than it did a decade ago, and cold days have not disappeared. Earlier local studies of daily cardiac admissions emphasised cold. Whether that pattern also describes recent monthly counts of first hospitalisation among people with diabetes or hypertension is a separate question.</w:t>
      </w:r>
    </w:p>
    <w:p>
      <w:pPr>
        <w:pStyle w:val="BodyText"/>
      </w:pPr>
      <w:r>
        <w:rPr>
          <w:bCs/>
          <w:b/>
        </w:rPr>
        <w:t xml:space="preserve">Methods.</w:t>
      </w:r>
      <w:r>
        <w:t xml:space="preserve"> </w:t>
      </w:r>
      <w:r>
        <w:t xml:space="preserve">We analysed 132 territory-months (January 2013–December 2023) of governed monthly aggregate counts of the first recorded hospitalisation after a first diagnosis of coronary heart disease (CHD) or heart failure (HF) among people diagnosed with type 2 diabetes and/or hypertension (156,156 CHD events; 29,681 HF events). Admission cause was not recorded. Exposures were monthly mean temperature, the monthly means of daily maximum and minimum temperature, and official counts of hot nights, very hot days, and cold days. Each exposure entered a separate negative-binomial model with calendar-month indicators, a natural cubic spline of time (4 df), and a days-in-month offset. Intervals were reported as a ladder of model-based, HC1, Newey–West lag-3, and Newey–West lag-6 constructions. Benjamini–Hochberg</w:t>
      </w:r>
      <w:r>
        <w:t xml:space="preserve"> </w:t>
      </w:r>
      <w:r>
        <w:rPr>
          <w:iCs/>
          <w:i/>
        </w:rPr>
        <w:t xml:space="preserve">q</w:t>
      </w:r>
      <w:r>
        <w:t xml:space="preserve">-values covered the twelve core contrasts. The model set was specified after the outcome series were available and is exploratory. A method for recovering daily exposure coefficients from monthly sums was tested in simulation and was not applied to the health series.</w:t>
      </w:r>
    </w:p>
    <w:p>
      <w:pPr>
        <w:pStyle w:val="BodyText"/>
      </w:pPr>
      <w:r>
        <w:rPr>
          <w:bCs/>
          <w:b/>
        </w:rPr>
        <w:t xml:space="preserve">Results.</w:t>
      </w:r>
      <w:r>
        <w:t xml:space="preserve"> </w:t>
      </w:r>
      <w:r>
        <w:t xml:space="preserve">Under Newey–West lag-6 reporting, the count ratio was 1.022 (1.002–1.042) per five hot nights for CHD and 1.073 (1.006–1.144) per five cold days for HF. Both had</w:t>
      </w:r>
      <w:r>
        <w:t xml:space="preserve"> </w:t>
      </w:r>
      <w:r>
        <w:rPr>
          <w:iCs/>
          <w:i/>
        </w:rPr>
        <w:t xml:space="preserve">q</w:t>
      </w:r>
      <w:r>
        <w:t xml:space="preserve"> </w:t>
      </w:r>
      <w:r>
        <w:t xml:space="preserve">= 0.192, and all twelve core</w:t>
      </w:r>
      <w:r>
        <w:t xml:space="preserve"> </w:t>
      </w:r>
      <w:r>
        <w:rPr>
          <w:iCs/>
          <w:i/>
        </w:rPr>
        <w:t xml:space="preserve">q</w:t>
      </w:r>
      <w:r>
        <w:t xml:space="preserve">-values exceeded 0.19. For CHD hot nights, model-based and HC1 intervals included 1, while both Newey–West intervals excluded 1 on the unrounded scale. For HF cold days, all four interval constructions excluded 1. Official cold days fell almost entirely in December–February (141 of 145 days), so the cold-day contrast is identified from differences between winters. Pearson residual autocorrelation at lag 1 was 0.508 for the CHD hot-night model and 0.146 for the HF cold-day model.</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is not protected by its</w:t>
      </w:r>
      <w:r>
        <w:t xml:space="preserve"> </w:t>
      </w:r>
      <w:r>
        <w:rPr>
          <w:iCs/>
          <w:i/>
        </w:rPr>
        <w:t xml:space="preserve">q</w:t>
      </w:r>
      <w:r>
        <w:t xml:space="preserve">-value. The CHD hot-night association depends on how uncertainty is computed. All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[9,10]. Hong Kong is a dense, ageing city whose thermal profile has shifted within a single decade. At the Hong Kong Observatory (HKO), hot nights increased from 10 in 2013 to 61 in 2021, and very hot days from 17 to 54 in the same comparison [2,4]. Cold days persisted across the period (14 in 2013, 13 in 2021, and 14 in 2023) [2,4]. A contemporary local analysis therefore has to hold heat and cold in one design.</w:t>
      </w:r>
    </w:p>
    <w:p>
      <w:pPr>
        <w:pStyle w:val="BodyText"/>
      </w:pPr>
      <w:r>
        <w:t xml:space="preserve">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and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pStyle w:val="BodyText"/>
      </w:pPr>
      <w:r>
        <w:t xml:space="preserve">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[17]. An hourly excess-heat metric for 20:00–07:59 was associated with higher hospitalisation, including a 3.1% (1.5–4.8%) increase at its extreme value [17]. Official monthly counts of hot nights are therefore a coarser encoding than nighttime intensity. They remain an interpretable public climatological series, and they are not a test of the hourly metric. Guo et al. did not study first CHD or HF hospitalisation in a diabetes or hypertension cohort [17].</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and fine particulate matter (PM2.5) from 30.8 to 14.6 µg m</w:t>
      </w:r>
      <w:r>
        <w:rPr>
          <w:vertAlign w:val="superscript"/>
        </w:rPr>
        <w:t xml:space="preserve">−3</w:t>
      </w:r>
      <w:r>
        <w:t xml:space="preserve">, while ozone rose from 42.6 to 58.3 µg m</w:t>
      </w:r>
      <w:r>
        <w:rPr>
          <w:vertAlign w:val="superscript"/>
        </w:rPr>
        <w:t xml:space="preserve">−3</w:t>
      </w:r>
      <w:r>
        <w:t xml:space="preserve"> </w:t>
      </w:r>
      <w:r>
        <w:t xml:space="preserve">[7]. Temperature and pollutants are not interchangeable covariates. Ozone is coupled with hot, sunny conditions and may confound the thermal association or lie on its pathway, so pollution adjustment is staged rather than screened for attenuation.</w:t>
      </w:r>
    </w:p>
    <w:p>
      <w:pPr>
        <w:pStyle w:val="BodyText"/>
      </w:pPr>
      <w:r>
        <w:t xml:space="preserve">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Heat and cold exposures are carried in parallel, and discordance between definitions and between uncertainty constructions is reported in place of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Continuity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Official cold days were concentrated in December–February (141 of 145 days across 2013–2023; four days fell in March). With calendar-month indicators in the model, remaining cold-day variation is between-year differences within winter months. A winter-only restriction is a labelled sensitivity, not a remedy for that identification. Extremely hot days, relative humidity, rainfall, and sulfur dioxide were assembled with the weather series but were not entered in the twelve-contrast continuity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continuity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continuity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Continuity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Continuity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continuity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Continuity intervals used Newey–West standard errors with lag 6 [19], reported together with model-based, HC1, and Newey–West lag-3 intervals. Lag 6 was the continuity reporting choice because residual serial dependence is expected in monthly counts and is material for CHD.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continuity contrasts [20].</w:t>
      </w:r>
    </w:p>
    <w:p>
      <w:pPr>
        <w:pStyle w:val="BodyText"/>
      </w:pPr>
      <w:r>
        <w:t xml:space="preserve">Archive models that entered pollution, humidity, or influenza are not adjusted versions of the separate continuity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A 500-replicate calibration against Hong Kong weather failed those requirements. A subsequent worst-cell re-summary of the same fits did not reverse that decision. No daily health coefficient was produced. This is a project-specific calibration result. It does not show that the Basagaña–Ballester method fails in general.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46" w:name="results"/>
    <w:p>
      <w:pPr>
        <w:pStyle w:val="Heading2"/>
      </w:pPr>
      <w:r>
        <w:t xml:space="preserve">Results</w:t>
      </w:r>
    </w:p>
    <w:bookmarkStart w:id="35"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Over the same years the interpolated Census and Statistics Department population aged 35 years or older rose by 17%. Figure 1 indexes those series to 2013. The decline in first-event counts is compatible with risk-set depletion in a 2013–2023 diagnosis window, together with pandemic changes in care-seeking. It is not a measure of falling incidence in the territory, and it does not quantify the share of depletion without monthly still-at-risk person-time.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p>
      <w:pPr>
        <w:pStyle w:val="BodyText"/>
      </w:pPr>
      <w:r>
        <w:rPr>
          <w:bCs/>
          <w:b/>
        </w:rPr>
        <w:t xml:space="preserve">Figure 1. First-event counts fell while the general population aged 35+ rose.</w:t>
      </w:r>
      <w:r>
        <w:t xml:space="preserve"> </w:t>
      </w:r>
      <w:r>
        <w:t xml:space="preserve">Index = 1 in 2013. CHD 23,830 → 12,323; HF 4,336 → 2,296. Provenance: HA_APPROVED_AGGREGATE annual totals; REAL C&amp;SD mid-year population aged 35+.</w:t>
      </w:r>
    </w:p>
    <w:p>
      <w:pPr>
        <w:pStyle w:val="CaptionedFigure"/>
      </w:pPr>
      <w:r>
        <w:drawing>
          <wp:inline>
            <wp:extent cx="5334000" cy="5467350"/>
            <wp:effectExtent b="0" l="0" r="0" t="0"/>
            <wp:docPr descr="Figure 1" title="" id="33" name="Picture"/>
            <a:graphic>
              <a:graphicData uri="http://schemas.openxmlformats.org/drawingml/2006/picture">
                <pic:pic>
                  <pic:nvPicPr>
                    <pic:cNvPr descr="../../figures/live_identification/figure_B_first_event_depletion.png" id="34" name="Picture"/>
                    <pic:cNvPicPr>
                      <a:picLocks noChangeArrowheads="1" noChangeAspect="1"/>
                    </pic:cNvPicPr>
                  </pic:nvPicPr>
                  <pic:blipFill>
                    <a:blip r:embed="rId32"/>
                    <a:stretch>
                      <a:fillRect/>
                    </a:stretch>
                  </pic:blipFill>
                  <pic:spPr bwMode="auto">
                    <a:xfrm>
                      <a:off x="0" y="0"/>
                      <a:ext cx="5334000" cy="5467350"/>
                    </a:xfrm>
                    <a:prstGeom prst="rect">
                      <a:avLst/>
                    </a:prstGeom>
                    <a:noFill/>
                    <a:ln w="9525">
                      <a:noFill/>
                      <a:headEnd/>
                      <a:tailEnd/>
                    </a:ln>
                  </pic:spPr>
                </pic:pic>
              </a:graphicData>
            </a:graphic>
          </wp:inline>
        </w:drawing>
      </w:r>
    </w:p>
    <w:p>
      <w:pPr>
        <w:pStyle w:val="ImageCaption"/>
      </w:pPr>
      <w:r>
        <w:t xml:space="preserve">Figure 1</w:t>
      </w:r>
    </w:p>
    <w:bookmarkEnd w:id="35"/>
    <w:bookmarkStart w:id="39" w:name="exposure-context"/>
    <w:p>
      <w:pPr>
        <w:pStyle w:val="Heading3"/>
      </w:pPr>
      <w:r>
        <w:t xml:space="preserve">Exposure context</w:t>
      </w:r>
    </w:p>
    <w:p>
      <w:pPr>
        <w:pStyle w:val="FirstParagraph"/>
      </w:pPr>
      <w:r>
        <w:t xml:space="preserve">At HKO Headquarters, hot nights rose from 10 in 2013 to 61 in 2021 and 56 in 2023. The 2021 total was the highest annual number of hot nights in the Observatory record through the study window. Very hot days rose from 17 to 54 over the same 2013–2021 comparison and were 54 in 2023. Cold days were 14 in 2013 and 14 in 2023 (1 in 2019; 13 in 2021). These are exposure counts, not health effects. Figure 2 shows official cold days by year and month. Of 145 cold days in 2013–2023, 141 fell in December–February (December 40, January 54, February 47) and 4 fell in March. The year 2019 contributed a single cold day. After calendar-month indicators, remaining cold-day variation is between-year winter, not a summer-versus-winter contrast.</w:t>
      </w:r>
    </w:p>
    <w:p>
      <w:pPr>
        <w:pStyle w:val="BodyText"/>
      </w:pPr>
      <w:r>
        <w:rPr>
          <w:bCs/>
          <w:b/>
        </w:rPr>
        <w:t xml:space="preserve">Figure 2. Official cold days by year and month, Hong Kong Observatory Headquarters, 2013–2023.</w:t>
      </w:r>
      <w:r>
        <w:t xml:space="preserve"> </w:t>
      </w:r>
      <w:r>
        <w:t xml:space="preserve">Provenance: REAL HKO official flags (Tmin ≤ 12 °C) rolled to calendar months.</w:t>
      </w:r>
    </w:p>
    <w:p>
      <w:pPr>
        <w:pStyle w:val="CaptionedFigure"/>
      </w:pPr>
      <w:r>
        <w:drawing>
          <wp:inline>
            <wp:extent cx="5334000" cy="3867150"/>
            <wp:effectExtent b="0" l="0" r="0" t="0"/>
            <wp:docPr descr="Figure 2" title="" id="37" name="Picture"/>
            <a:graphic>
              <a:graphicData uri="http://schemas.openxmlformats.org/drawingml/2006/picture">
                <pic:pic>
                  <pic:nvPicPr>
                    <pic:cNvPr descr="../../figures/live_identification/figure_A_cold_day_identification.png" id="38" name="Picture"/>
                    <pic:cNvPicPr>
                      <a:picLocks noChangeArrowheads="1" noChangeAspect="1"/>
                    </pic:cNvPicPr>
                  </pic:nvPicPr>
                  <pic:blipFill>
                    <a:blip r:embed="rId36"/>
                    <a:stretch>
                      <a:fillRect/>
                    </a:stretch>
                  </pic:blipFill>
                  <pic:spPr bwMode="auto">
                    <a:xfrm>
                      <a:off x="0" y="0"/>
                      <a:ext cx="5334000" cy="3867150"/>
                    </a:xfrm>
                    <a:prstGeom prst="rect">
                      <a:avLst/>
                    </a:prstGeom>
                    <a:noFill/>
                    <a:ln w="9525">
                      <a:noFill/>
                      <a:headEnd/>
                      <a:tailEnd/>
                    </a:ln>
                  </pic:spPr>
                </pic:pic>
              </a:graphicData>
            </a:graphic>
          </wp:inline>
        </w:drawing>
      </w:r>
    </w:p>
    <w:p>
      <w:pPr>
        <w:pStyle w:val="ImageCaption"/>
      </w:pPr>
      <w:r>
        <w:t xml:space="preserve">Figure 2</w:t>
      </w:r>
    </w:p>
    <w:bookmarkEnd w:id="39"/>
    <w:bookmarkStart w:id="40" w:name="continuity-panel"/>
    <w:p>
      <w:pPr>
        <w:pStyle w:val="Heading3"/>
      </w:pPr>
      <w:r>
        <w:t xml:space="preserve">Continuity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and it is not a test of hourly nighttime excess heat [17]. For HF, continuous temperature associations were weakly inverse and the cold-day count association was positive.</w:t>
      </w:r>
    </w:p>
    <w:bookmarkEnd w:id="40"/>
    <w:bookmarkStart w:id="41"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41"/>
    <w:bookmarkStart w:id="45"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continuity models and 0.13–0.18 for HF. For the two leading contrasts it was 0.508 (CHD hot nights) and 0.146 (HF cold days) (Figure 3).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 It is why Newey–West intervals are shown rather than model-based intervals alone.</w:t>
      </w:r>
    </w:p>
    <w:p>
      <w:pPr>
        <w:pStyle w:val="BodyText"/>
      </w:pPr>
      <w:r>
        <w:rPr>
          <w:bCs/>
          <w:b/>
        </w:rPr>
        <w:t xml:space="preserve">Figure 3. Residual autocorrelation after month and trend.</w:t>
      </w:r>
      <w:r>
        <w:t xml:space="preserve"> </w:t>
      </w:r>
      <w:r>
        <w:t xml:space="preserve">Lag-1 autocorrelation is 0.508 for the CHD hot-night model and 0.146 for the HF cold-day model. Dashed lines are ±1.96/√132. Provenance: REAL residuals from already-fitted continuity models.</w:t>
      </w:r>
    </w:p>
    <w:p>
      <w:pPr>
        <w:pStyle w:val="CaptionedFigure"/>
      </w:pPr>
      <w:r>
        <w:drawing>
          <wp:inline>
            <wp:extent cx="5334000" cy="3600450"/>
            <wp:effectExtent b="0" l="0" r="0" t="0"/>
            <wp:docPr descr="Figure 3" title="" id="43" name="Picture"/>
            <a:graphic>
              <a:graphicData uri="http://schemas.openxmlformats.org/drawingml/2006/picture">
                <pic:pic>
                  <pic:nvPicPr>
                    <pic:cNvPr descr="../../figures/live_identification/figure_C_residual_acf.png" id="44" name="Picture"/>
                    <pic:cNvPicPr>
                      <a:picLocks noChangeArrowheads="1" noChangeAspect="1"/>
                    </pic:cNvPicPr>
                  </pic:nvPicPr>
                  <pic:blipFill>
                    <a:blip r:embed="rId42"/>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Offset choice changed continuity count ratios only trivially. Across trend and early-period specifications, the CHD hot-night ratio ranged from 1.011 to 1.025 and the HF cold-day ratio from 1.043 to 1.113. The HF cold-day association was stronger before 2020 (1.113, 1.053–1.176).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 That refusal is specific to this monthly series and this implementation.</w:t>
      </w:r>
    </w:p>
    <w:bookmarkEnd w:id="45"/>
    <w:bookmarkEnd w:id="46"/>
    <w:bookmarkStart w:id="47" w:name="discussion"/>
    <w:p>
      <w:pPr>
        <w:pStyle w:val="Heading2"/>
      </w:pPr>
      <w:r>
        <w:t xml:space="preserve">Discussion</w:t>
      </w:r>
    </w:p>
    <w:p>
      <w:pPr>
        <w:pStyle w:val="FirstParagraph"/>
      </w:pPr>
      <w:r>
        <w:t xml:space="preserve">The current data do not support a protected differential thermal claim for CHD relative to HF. Under continuity Newey–West lag-6 reporting, CHD first-hospitalisation counts were more closely associated with official hot-night burden than with mean temperature or cold days, and HF counts were more closely associated with cold-day burden than with hot nights. Both patterns sit inside a twelve-contrast family in which every</w:t>
      </w:r>
      <w:r>
        <w:t xml:space="preserve"> </w:t>
      </w:r>
      <w:r>
        <w:rPr>
          <w:iCs/>
          <w:i/>
        </w:rPr>
        <w:t xml:space="preserve">q</w:t>
      </w:r>
      <w:r>
        <w:t xml:space="preserve">-value exceeds 0.19. The panel is therefore reported complete, and no contrast is promoted to a primary result.</w:t>
      </w:r>
    </w:p>
    <w:p>
      <w:pPr>
        <w:pStyle w:val="BodyText"/>
      </w:pPr>
      <w:r>
        <w:t xml:space="preserve">The HF cold-day association is the more coherent of the two residual signals. It is concordant across all four standard-error constructions. It survives exclusion of the most influential pandemic month. It is not produced by entering correlated heat metrics jointly. It nevertheless remains unprotected by its</w:t>
      </w:r>
      <w:r>
        <w:t xml:space="preserve"> </w:t>
      </w:r>
      <w:r>
        <w:rPr>
          <w:iCs/>
          <w:i/>
        </w:rPr>
        <w:t xml:space="preserve">q</w:t>
      </w:r>
      <w:r>
        <w:t xml:space="preserve">-value. Because official cold days fall almost entirely in December–February, the association is identified from differences between winters rather than from a summer-versus-winter contrast.</w:t>
      </w:r>
    </w:p>
    <w:p>
      <w:pPr>
        <w:pStyle w:val="BodyText"/>
      </w:pPr>
      <w:r>
        <w:t xml:space="preserve">The CHD hot-night association is smaller and depends on the uncertainty method. Model-based and HC1 intervals include 1, whereas the Newey–West intervals exclude 1 on the unrounded scale (lag 3: 1.000253 to 1.043860). Pearson residual autocorrelation at lag 1 is 0.508 in that model, so model-based intervals are too narrow for the CHD series. No interval construction was chosen because it excluded 1.</w:t>
      </w:r>
    </w:p>
    <w:p>
      <w:pPr>
        <w:pStyle w:val="BodyText"/>
      </w:pPr>
      <w:r>
        <w:t xml:space="preserve">The direction of the HF cold-day residual is consistent with earlier daily evidence that lower temperature was associated with higher heart-failure admissions in Hong Kong [21]. The comparison is between questions,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 and sleep, blood pressure, and personal exposure were not measured.</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pStyle w:val="BodyText"/>
      </w:pPr>
      <w:r>
        <w:t xml:space="preserve">Pollution and influenza are scientifically motivated in this setting [1,18]. Archive models in which they enter are not adjusted versions of the continuity panel. On the 121 months with influenza data, an archive model associated influenza activity with higher CHD counts (1.673, 1.249–2.243), and that coefficient does not adjust Table 2. Confounding by infection, ozone, or nitrogen dioxide is therefore unresolved. Absent cohort person-time, even a stable count ratio remains a count ratio [14].</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leave no substantial CHD serial correlation unaddressed. This analysis does not meet that bar. We report the complete panel and the refusals.</w:t>
      </w:r>
    </w:p>
    <w:bookmarkEnd w:id="47"/>
    <w:bookmarkStart w:id="48" w:name="conclusion"/>
    <w:p>
      <w:pPr>
        <w:pStyle w:val="Heading2"/>
      </w:pPr>
      <w:r>
        <w:t xml:space="preserve">Conclusion</w:t>
      </w:r>
    </w:p>
    <w:p>
      <w:pPr>
        <w:pStyle w:val="FirstParagraph"/>
      </w:pPr>
      <w:r>
        <w:t xml:space="preserve">Between 2013 and 2023, hot nights in Hong Kong increased while cold days persisted. In governed monthly aggregates for people with type 2 diabetes and/or hypertension, the largest positive thermal association was with hot nights for CHD first hospitalisations and with cold days for HF first hospitalisations. Neither association survived correction across the twelve comparisons, and the CHD estimate depended on the treatment of uncertainty. The contribution of this analysis is a set of hypotheses and an explicit account of what monthly aggregate counts cannot settle. Better-denominated and more finely resolved data are required before a thermal effect on cardiac hospitalisation in this cohort can be estimated.</w:t>
      </w:r>
    </w:p>
    <w:bookmarkEnd w:id="48"/>
    <w:bookmarkStart w:id="49" w:name="strengths-and-limitations"/>
    <w:p>
      <w:pPr>
        <w:pStyle w:val="Heading2"/>
      </w:pPr>
      <w:r>
        <w:t xml:space="preserve">Strengths and limitations</w:t>
      </w:r>
    </w:p>
    <w:p>
      <w:pPr>
        <w:pStyle w:val="FirstParagraph"/>
      </w:pPr>
      <w:r>
        <w:rPr>
          <w:bCs/>
          <w:b/>
        </w:rPr>
        <w:t xml:space="preserve">Strengths.</w:t>
      </w:r>
      <w:r>
        <w:t xml:space="preserve"> </w:t>
      </w:r>
      <w:r>
        <w:t xml:space="preserve">The twelve-contrast panel is reported in full rather than filtered to its largest estimates. Uncertainty is shown as an explicit four-construction ladder rather than as a single interval. Extreme-day exposures use published official thresholds. Identification displays show where cold-day variation and first-event decline come from. The daily-recovery analysis is reported as a refusal rather than as a coefficient.</w:t>
      </w:r>
    </w:p>
    <w:p>
      <w:pPr>
        <w:pStyle w:val="BodyText"/>
      </w:pPr>
      <w:r>
        <w:rPr>
          <w:bCs/>
          <w:b/>
        </w:rPr>
        <w:t xml:space="preserve">Limitations.</w:t>
      </w:r>
      <w:r>
        <w:t xml:space="preserve"> </w:t>
      </w:r>
      <w:r>
        <w:t xml:space="preserve">Admission cause was not recorded, so an event is a first hospitalisation after a first diagnosis and not a cardiac-caused admission. Inpatient-only semantics are inferred from the delivered column labels and remain to be confirmed. Monthly counts of cohort members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leading model. Official cold days are concentrated in December–February, so the HF cold-day estimate rests on differences between winters. Official hot-night counts are not hourly nighttime excess heat [17]. Reference rules for monthly hot-tail and cold-tail indicators are not yet fixed, and no such indicator was used as a confirmatory exposure. Pollution, humidity, and influenza confounding is unresolved in the continuity panel. A stroke series was named in correspondence but was not delivered, and no stroke result is reported. External dissemination of the governed aggregates requires confirmation from the outcome and supervising investigators.</w:t>
      </w:r>
    </w:p>
    <w:bookmarkEnd w:id="49"/>
    <w:bookmarkStart w:id="50"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50"/>
    <w:bookmarkStart w:id="51" w:name="declaration-of-competing-interest"/>
    <w:p>
      <w:pPr>
        <w:pStyle w:val="Heading2"/>
      </w:pPr>
      <w:r>
        <w:t xml:space="preserve">Declaration of competing interest</w:t>
      </w:r>
    </w:p>
    <w:p>
      <w:pPr>
        <w:pStyle w:val="FirstParagraph"/>
      </w:pPr>
      <w:r>
        <w:t xml:space="preserve">The authors declare no competing interests.</w:t>
      </w:r>
    </w:p>
    <w:bookmarkEnd w:id="51"/>
    <w:bookmarkStart w:id="52"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52"/>
    <w:bookmarkStart w:id="53"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53"/>
    <w:bookmarkStart w:id="54"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p>
      <w:pPr>
        <w:numPr>
          <w:ilvl w:val="0"/>
          <w:numId w:val="1001"/>
        </w:numPr>
        <w:pStyle w:val="Compact"/>
      </w:pPr>
      <w:r>
        <w:t xml:space="preserve">Goggins WB, Chan EYY. A study of the short-term associations between hospital admissions and mortality from heart failure and meteorological variables in Hong Kong.</w:t>
      </w:r>
      <w:r>
        <w:t xml:space="preserve"> </w:t>
      </w:r>
      <w:r>
        <w:rPr>
          <w:iCs/>
          <w:i/>
        </w:rPr>
        <w:t xml:space="preserve">Int J Cardiol</w:t>
      </w:r>
      <w:r>
        <w:t xml:space="preserve">. 2017;228:537-542. doi:10.1016/j.ijcard.2016.11.106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2026-08-12T23:40:56Z</dcterms:created>
  <dcterms:modified xsi:type="dcterms:W3CDTF">2026-08-12T23:40:56Z</dcterms:modified>
</cp:coreProperties>
</file>

<file path=docProps/custom.xml><?xml version="1.0" encoding="utf-8"?>
<Properties xmlns="http://schemas.openxmlformats.org/officeDocument/2006/custom-properties" xmlns:vt="http://schemas.openxmlformats.org/officeDocument/2006/docPropsVTypes"/>
</file>