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20" w:before="0" w:line="240" w:lineRule="auto"/>
        <w:ind w:firstLine="0"/>
        <w:jc w:val="center"/>
      </w:pPr>
      <w:r>
        <w:rPr>
          <w:rFonts w:ascii="Times New Roman" w:hAnsi="Times New Roman" w:eastAsia="Times New Roman"/>
          <w:b/>
          <w:i w:val="0"/>
          <w:sz w:val="32"/>
        </w:rPr>
        <w:t>Window dependence of first CHD and HF hospitalisation counts in Hong Kong, 2013–2023: official-day ratios as a ruling-out exhibit</w:t>
      </w:r>
    </w:p>
    <w:p>
      <w:pPr>
        <w:spacing w:after="160" w:before="0" w:line="240" w:lineRule="auto"/>
        <w:ind w:firstLine="0"/>
        <w:jc w:val="center"/>
      </w:pPr>
      <w:r>
        <w:rPr>
          <w:rFonts w:ascii="Times New Roman" w:hAnsi="Times New Roman" w:eastAsia="Times New Roman"/>
          <w:b w:val="0"/>
          <w:i/>
          <w:sz w:val="22"/>
        </w:rPr>
        <w:t>Running title: Window dependence of first-event counts: official-day exhibit</w:t>
      </w:r>
    </w:p>
    <w:p>
      <w:pPr>
        <w:keepNext w:val="0"/>
        <w:spacing w:after="160" w:before="0" w:line="240" w:lineRule="auto"/>
        <w:ind w:firstLine="720"/>
        <w:jc w:val="both"/>
      </w:pPr>
      <w:r>
        <w:rPr>
          <w:rFonts w:ascii="Times New Roman" w:hAnsi="Times New Roman" w:eastAsia="Times New Roman"/>
          <w:b w:val="0"/>
          <w:i/>
          <w:sz w:val="24"/>
        </w:rPr>
        <w:t>Estimates are exploratory Model 1 fits and nested-window checks.</w:t>
      </w:r>
    </w:p>
    <w:p>
      <w:pPr>
        <w:spacing w:after="16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keepNext w:val="0"/>
        <w:spacing w:after="160" w:before="0" w:line="240" w:lineRule="auto"/>
        <w:ind w:firstLine="720"/>
        <w:jc w:val="both"/>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School of Public Health, Li Ka Shing Faculty of Medicine, The University of Hong Kong, Hong Kong SAR, China</w:t>
      </w:r>
    </w:p>
    <w:p>
      <w:pPr>
        <w:keepNext/>
        <w:keepLines/>
        <w:spacing w:after="120" w:before="240" w:line="240" w:lineRule="auto"/>
        <w:ind w:firstLine="0"/>
        <w:jc w:val="left"/>
      </w:pPr>
      <w:r>
        <w:rPr>
          <w:rFonts w:ascii="Times New Roman" w:hAnsi="Times New Roman" w:eastAsia="Times New Roman"/>
          <w:b/>
          <w:i w:val="0"/>
          <w:sz w:val="28"/>
        </w:rPr>
        <w:t>Abstract</w:t>
      </w:r>
    </w:p>
    <w:p>
      <w:pPr>
        <w:keepNext w:val="0"/>
        <w:spacing w:after="160" w:before="0" w:line="240" w:lineRule="auto"/>
        <w:ind w:firstLine="0"/>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We estimate whether monthly first hospitalisation counts after a first diagnosis of coronary heart disease (CHD) or heart failure (HF), among people with type 2 diabetes and/or hypertension in Hong Kong, January 2013–December 2023 (132 months), change when the same negative-binomial model is refit on the nested pre-2020 84 months inside the full 132. That is window dependence of count ratios: an overlapping-sample refit with the time spline re-knotted, not a COVID health effect, not incidence, and not a pre/post treatment effect. Official hot nights, very hot days, and cold days, reported per five additional such days in a month, are carried as a ruling-out exhibit for that dependence, not as a second thermal-cardiovascular primary. Xin et al. reported fewer public hospitalisations and more cardiovascular deaths in 2020 [1]; neighbouring papers describe the 2020 trough, not the 2013–2019 path.</w:t>
      </w:r>
    </w:p>
    <w:p>
      <w:pPr>
        <w:keepNext w:val="0"/>
        <w:spacing w:after="160" w:before="0" w:line="240" w:lineRule="auto"/>
        <w:ind w:firstLine="0"/>
        <w:jc w:val="both"/>
      </w:pPr>
      <w:commentRangeStart w:id="1"/>
      <w:r>
        <w:rPr>
          <w:rFonts w:ascii="Times New Roman" w:hAnsi="Times New Roman" w:eastAsia="Times New Roman"/>
          <w:b/>
          <w:i w:val="0"/>
          <w:sz w:val="24"/>
        </w:rPr>
        <w:t>Methods.</w:t>
      </w:r>
      <w:commentRangeEnd w:id="1"/>
      <w:r>
        <w:rPr>
          <w:rStyle w:val="CommentReference"/>
        </w:rPr>
        <w:commentReference w:id="1"/>
      </w:r>
      <w:r>
        <w:rPr>
          <w:rFonts w:ascii="Times New Roman" w:hAnsi="Times New Roman" w:eastAsia="Times New Roman"/>
          <w:b w:val="0"/>
          <w:i w:val="0"/>
          <w:sz w:val="24"/>
        </w:rPr>
        <w:t xml:space="preserve"> We analysed 132 territory-months (January 2013–December 2023) of monthly counts of first hospitalisation after a first diagnosis of coronary heart disease (CHD; 156,156 events) or heart failure (HF; 29,681 events) among people with type 2 diabetes and/or hypertension. Admission cause was not recorded. The first object is that count path. The ruling-out exhibit is the Model 1 official-day count ratio on the full 132 months and on the nested 84 months from January 2013 to December 2019. Those 84 months are contained in the 132. The nested specification is an overlapping-sample refit, not a period contrast. Model 1 is a separate negative-binomial model for each of three continuous temperature measures and the official counts of hot nights, very hot days, and cold days, with calendar-month indicators, a 4-df time spline, and an offset for the number of days in the month. Official-day exposures use </w:t>
      </w:r>
      <w:r>
        <w:rPr>
          <w:rFonts w:ascii="Times New Roman" w:hAnsi="Times New Roman" w:eastAsia="Times New Roman"/>
          <w:b w:val="0"/>
          <w:i/>
          <w:sz w:val="24"/>
        </w:rPr>
        <w:t>I(count/5)</w:t>
      </w:r>
      <w:r>
        <w:rPr>
          <w:rFonts w:ascii="Times New Roman" w:hAnsi="Times New Roman" w:eastAsia="Times New Roman"/>
          <w:b w:val="0"/>
          <w:i w:val="0"/>
          <w:sz w:val="24"/>
        </w:rPr>
        <w:t xml:space="preserve"> as a reporting scale, read per five additional such days in a month. Intervals used model-based, HC1, and Newey–West lag-3 and lag-6 constructions. Displayed official-day intervals in the text use the lag-6 construction as a display convention, not because that interval excludes 1. Benjamini–Hochberg </w:t>
      </w:r>
      <w:r>
        <w:rPr>
          <w:rFonts w:ascii="Times New Roman" w:hAnsi="Times New Roman" w:eastAsia="Times New Roman"/>
          <w:b w:val="0"/>
          <w:i/>
          <w:sz w:val="24"/>
        </w:rPr>
        <w:t>q</w:t>
      </w:r>
      <w:r>
        <w:rPr>
          <w:rFonts w:ascii="Times New Roman" w:hAnsi="Times New Roman" w:eastAsia="Times New Roman"/>
          <w:b w:val="0"/>
          <w:i w:val="0"/>
          <w:sz w:val="24"/>
        </w:rPr>
        <w:t xml:space="preserve">-values were computed from the twelve full-window Newey–West lag-6 Wald </w:t>
      </w:r>
      <w:r>
        <w:rPr>
          <w:rFonts w:ascii="Times New Roman" w:hAnsi="Times New Roman" w:eastAsia="Times New Roman"/>
          <w:b w:val="0"/>
          <w:i/>
          <w:sz w:val="24"/>
        </w:rPr>
        <w:t>p</w:t>
      </w:r>
      <w:r>
        <w:rPr>
          <w:rFonts w:ascii="Times New Roman" w:hAnsi="Times New Roman" w:eastAsia="Times New Roman"/>
          <w:b w:val="0"/>
          <w:i w:val="0"/>
          <w:sz w:val="24"/>
        </w:rPr>
        <w:t xml:space="preserve"> values only. Nested-window intervals have no multiplicity control. No 48-month post-2020 Model 1 table is reported.</w:t>
      </w:r>
    </w:p>
    <w:p>
      <w:pPr>
        <w:keepNext w:val="0"/>
        <w:spacing w:after="160" w:before="0" w:line="240" w:lineRule="auto"/>
        <w:ind w:firstLine="0"/>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Annual first-event totals about halved from 2013 to 2023 (CHD 23,830 to 12,323; HF 4,336 to 2,296). Most of that decline was already present by 2019 (CHD 12,396; HF 2,344). 2020 was a trough (CHD 10,237; HF 1,964); 2023 returned toward 2019. The Census and Statistics Department population aged 35 years or older rose by 17% and is not the still-at-risk set. Official-day count-ratio point estimates moved with the window. The HF cold-day ratio per five days was 1.113 (1.053–1.176) in the nested 84 months and 1.073 (1.006–1.144) in the full 132; the CHD cold-day ratio was 1.036 (1.007–1.067) nested and 0.995 (0.949–1.043) full. Those cold-day points moved toward 1 when the later years were added. The CHD hot-night ratio was 1.011 (0.991–1.032) in the nested window and 1.022 (1.002–1.042) in the full window; the larger full-window point appears only when the later years are included. For that full-window CHD hot-night contrast, the model-based interval 1.022 (0.995–1.049) and the HC1 interval 1.022 (0.997–1.047) include 1; the displayed lag-6 interval does not. Nested-window intervals have no multiplicity control and are not a test of a window difference. Continuous mean temperature was inverse in the nested window for both outcomes (CHD 0.980, 0.970–0.990; HF 0.945, 0.927–0.963). Official day counts and monthly means are not interchangeable encodings. All twelve full-window </w:t>
      </w:r>
      <w:r>
        <w:rPr>
          <w:rFonts w:ascii="Times New Roman" w:hAnsi="Times New Roman" w:eastAsia="Times New Roman"/>
          <w:b w:val="0"/>
          <w:i/>
          <w:sz w:val="24"/>
        </w:rPr>
        <w:t>q</w:t>
      </w:r>
      <w:r>
        <w:rPr>
          <w:rFonts w:ascii="Times New Roman" w:hAnsi="Times New Roman" w:eastAsia="Times New Roman"/>
          <w:b w:val="0"/>
          <w:i w:val="0"/>
          <w:sz w:val="24"/>
        </w:rPr>
        <w:t xml:space="preserve">-values exceeded 0.19; the two full-window official-day rows above have </w:t>
      </w:r>
      <w:r>
        <w:rPr>
          <w:rFonts w:ascii="Times New Roman" w:hAnsi="Times New Roman" w:eastAsia="Times New Roman"/>
          <w:b w:val="0"/>
          <w:i/>
          <w:sz w:val="24"/>
        </w:rPr>
        <w:t>q</w:t>
      </w:r>
      <w:r>
        <w:rPr>
          <w:rFonts w:ascii="Times New Roman" w:hAnsi="Times New Roman" w:eastAsia="Times New Roman"/>
          <w:b w:val="0"/>
          <w:i w:val="0"/>
          <w:sz w:val="24"/>
        </w:rPr>
        <w:t xml:space="preserve"> = 0.192.</w:t>
      </w:r>
    </w:p>
    <w:p>
      <w:pPr>
        <w:keepNext w:val="0"/>
        <w:spacing w:after="160" w:before="0" w:line="240" w:lineRule="auto"/>
        <w:ind w:firstLine="0"/>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First-event counts and official-day count ratios in this extract depend on the window analysed. Nested containment means that a constant thermal coefficient need not be invariant once utilisation or depletion after 2019 is present, so stability of the ratios is a weak falsifier. Official-day point estimates are not invariant: cold-day and CHD hot-night points move in opposite directions; nested-window mean temperature is not the same contrast as official day counts; and the 4-df spline absorbs both the count path and the hot-night trend. Official day counts remain part of the exposure record. The decline in first events is not a measure of physiological improvement. Estimates remain ecological monthly count ratios for a first-event outcome without recorded admission cause.</w:t>
      </w:r>
    </w:p>
    <w:p>
      <w:pPr>
        <w:keepNext w:val="0"/>
        <w:spacing w:after="160" w:before="0" w:line="240" w:lineRule="auto"/>
        <w:ind w:firstLine="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analysis window; nested window; first hospitalisation; coronary heart disease; heart failure; Hong Kong</w:t>
      </w:r>
    </w:p>
    <w:p>
      <w:pPr>
        <w:keepNext/>
        <w:keepLines/>
        <w:spacing w:after="120" w:before="240" w:line="240" w:lineRule="auto"/>
        <w:ind w:firstLine="0"/>
        <w:jc w:val="left"/>
      </w:pPr>
      <w:r>
        <w:rPr>
          <w:rFonts w:ascii="Times New Roman" w:hAnsi="Times New Roman" w:eastAsia="Times New Roman"/>
          <w:b/>
          <w:i w:val="0"/>
          <w:sz w:val="28"/>
        </w:rPr>
        <w:t>Introduction</w:t>
      </w:r>
    </w:p>
    <w:p>
      <w:pPr>
        <w:keepNext w:val="0"/>
        <w:spacing w:after="160" w:before="0" w:line="240" w:lineRule="auto"/>
        <w:ind w:firstLine="720"/>
        <w:jc w:val="both"/>
      </w:pPr>
      <w:r>
        <w:rPr>
          <w:rFonts w:ascii="Times New Roman" w:hAnsi="Times New Roman" w:eastAsia="Times New Roman"/>
          <w:b w:val="0"/>
          <w:i w:val="0"/>
          <w:sz w:val="24"/>
        </w:rPr>
        <w:t>We estimate whether monthly first CHD and HF hospitalisation counts among people with type 2 diabetes and/or hypertension in Hong Kong, January 2013–December 2023 (132 months), change when the same negative-binomial model—calendar-month factors, a 4-df time spline, and a days-in-month offset—is refit on the nested pre-2020 84 months inside the full 132. That is window dependence of count ratios: an overlapping-sample refit with the spline re-knotted. It is not a COVID health effect, not incidence, and not a pre/post treatment effect. Official hot nights, very hot days, and cold days, reported per five additional such days in a month, are a ruling-out exhibit for that dependence, not a second thermal-cardiovascular primary.</w:t>
      </w:r>
    </w:p>
    <w:p>
      <w:pPr>
        <w:keepNext w:val="0"/>
        <w:spacing w:after="160" w:before="0" w:line="240" w:lineRule="auto"/>
        <w:ind w:firstLine="720"/>
        <w:jc w:val="both"/>
      </w:pPr>
      <w:r>
        <w:rPr>
          <w:rFonts w:ascii="Times New Roman" w:hAnsi="Times New Roman" w:eastAsia="Times New Roman"/>
          <w:b w:val="0"/>
          <w:i w:val="0"/>
          <w:sz w:val="24"/>
        </w:rPr>
        <w:t>The counted event is the first recorded hospitalisation after a first CHD or HF diagnosis. Admission cause was not recorded. Annual totals about halved from 2013 to 2023, but most of that decline was already in place by 2019. 2020 was a trough on that lower base. 2023 returned toward 2019, not toward 2013. Type 2 diabetes and hypertension diagnoses still enter through 2023, so the interval is not a closed 2013 cohort; early-year counts can include first-in-window events without a specified washout. Any monthly count of those first events therefore mixes weather, care-seeking, and a shrinking set still able to contribute a first recorded stay. A coefficient estimated on the whole window inherits that mixture.</w:t>
      </w:r>
    </w:p>
    <w:p>
      <w:pPr>
        <w:keepNext w:val="0"/>
        <w:spacing w:after="160" w:before="0" w:line="240" w:lineRule="auto"/>
        <w:ind w:firstLine="720"/>
        <w:jc w:val="both"/>
      </w:pPr>
      <w:r>
        <w:rPr>
          <w:rFonts w:ascii="Times New Roman" w:hAnsi="Times New Roman" w:eastAsia="Times New Roman"/>
          <w:b w:val="0"/>
          <w:i w:val="0"/>
          <w:sz w:val="24"/>
        </w:rPr>
        <w:t>Neighbouring Hong Kong studies from 2020 do not share this first-event construction, and their counts are not imported into the tables below. Xin et al. reported fewer public hospitalisations in 2020, including cardiovascular admissions, together with additional deaths, particularly cardiovascular deaths and deaths outside public hospitals [1]. That composite is not a CHD–HF–stroke MACE from this extract, and stroke was not attached. Wai et al. found fewer emergency-department visits in January–August 2020 than in the same months of 2019, and higher 28-day mortality among those who did attend [2]; a later Wai et al. analysis of emergency-department attenders likewise paired fewer visits with higher 28-day mortality [3]. Hung et al. documented self-reported avoidance of consultation in a public survey [4]. Tam et al. reported longer delays to ST-elevation myocardial infarction care in a Hong Kong service in early 2020 [5,6]. Those papers are utilisation, attender-mortality, survey, and STEMI-delay series from 2020. They are not this type 2 diabetes and/or hypertension first-event construction, they are not AMI or STEMI, and they can speak to the 2020 trough. They cannot speak to the 2013–2019 decline, and they do not cover February 2022.</w:t>
      </w:r>
    </w:p>
    <w:p>
      <w:pPr>
        <w:keepNext w:val="0"/>
        <w:spacing w:after="160" w:before="0" w:line="240" w:lineRule="auto"/>
        <w:ind w:firstLine="720"/>
        <w:jc w:val="both"/>
      </w:pPr>
      <w:r>
        <w:rPr>
          <w:rFonts w:ascii="Times New Roman" w:hAnsi="Times New Roman" w:eastAsia="Times New Roman"/>
          <w:b w:val="0"/>
          <w:i w:val="0"/>
          <w:sz w:val="24"/>
        </w:rPr>
        <w:t>Local thermal evidence answers a different question. Goggins et al. analysed daily cause-coded acute myocardial infarction admissions in 2000–2009 [7]. This extract is not AMI and has no admission cause. Goggins and Chan analysed daily public-hospital heart-failure admissions and deaths, allowing repeats, during 2002–2011 [8]. Guo et al. analysed daily unplanned emergency hospitalisations in the hot seasons of 2000–2019 [9]. After adjustment for multi-day mean temperature, the official hot-night indicator showed no overall association with non-cancer, non-external hospitalisation over lags 0–4 days, while an hourly nighttime excess-heat metric did [9]. Those studies estimate daily risk for cause-coded or unplanned admissions. This extract is year-round monthly first events through 2023, without admission cause. Their coefficients do not transfer to monthly counts of first hospitalisation after a first CHD or HF diagnosis. After calendar-month indicators, official cold days here are a between-year winter residual (141 of 145 days in December–February; 29 of 132 months carry any), not a within-season daily temperature slope. They do not identify why a 2013–2019 count ratio would differ from a 2013–2023 fit.</w:t>
      </w:r>
    </w:p>
    <w:p>
      <w:pPr>
        <w:keepNext w:val="0"/>
        <w:spacing w:after="160" w:before="0" w:line="240" w:lineRule="auto"/>
        <w:ind w:firstLine="720"/>
        <w:jc w:val="both"/>
      </w:pPr>
      <w:r>
        <w:rPr>
          <w:rFonts w:ascii="Times New Roman" w:hAnsi="Times New Roman" w:eastAsia="Times New Roman"/>
          <w:b w:val="0"/>
          <w:i w:val="0"/>
          <w:sz w:val="24"/>
        </w:rPr>
        <w:t>The Observatory record for the same years is unambiguous as climatology. Hot nights at Headquarters rose from 10 in 2013 to 61 in 2021 and 56 in 2023 [10,11,12]. Very hot days rose from 17 to 54 over the 2013–2021 comparison and were 54 in 2023 [11,12]. Cold days were 14 in 2013 and 14 in 2023, with 1 in 2019 and 13 in 2021 [10,11,12]. Air pollution also moved: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while ozone rose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[13]. Those series describe the window. They do not, by themselves, explain a first-event count ratio.</w:t>
      </w:r>
    </w:p>
    <w:p>
      <w:pPr>
        <w:keepNext w:val="0"/>
        <w:spacing w:after="160" w:before="0" w:line="240" w:lineRule="auto"/>
        <w:ind w:firstLine="720"/>
        <w:jc w:val="both"/>
      </w:pPr>
      <w:r>
        <w:rPr>
          <w:rFonts w:ascii="Times New Roman" w:hAnsi="Times New Roman" w:eastAsia="Times New Roman"/>
          <w:b w:val="0"/>
          <w:i w:val="0"/>
          <w:sz w:val="24"/>
        </w:rPr>
        <w:t>This study therefore reports two objects from one extract. The first is the path of the monthly first-hospitalisation counts. The second is the Model 1 count ratio for official hot nights, very hot days, and cold days, shown for the full 132 months and for the nested 84 months that stop at December 2019. Those 84 months are contained in the 132; the nested fit is an overlapping-sample refit, not a period contrast. The official-day ratios are carried as a ruling-out exhibit for the first object. Nested containment means that a constant thermal coefficient need not be invariant once utilisation or depletion after 2019 is present, so stability of the ratios is a weak falsifier. What can be shown is whether official-day point estimates move in the same direction, and whether monthly mean temperature tells the same story as the official day counts. All twelve full-window Model 1 fits are reported so that the exhibit is not a selected pair of rows.</w:t>
      </w:r>
    </w:p>
    <w:p>
      <w:pPr>
        <w:keepNext/>
        <w:keepLines/>
        <w:spacing w:after="120" w:before="240" w:line="240" w:lineRule="auto"/>
        <w:ind w:firstLine="0"/>
        <w:jc w:val="left"/>
      </w:pPr>
      <w:r>
        <w:rPr>
          <w:rFonts w:ascii="Times New Roman" w:hAnsi="Times New Roman" w:eastAsia="Times New Roman"/>
          <w:b/>
          <w:i w:val="0"/>
          <w:sz w:val="28"/>
        </w:rPr>
        <w:t>Methods</w:t>
      </w:r>
    </w:p>
    <w:p>
      <w:pPr>
        <w:keepNext w:val="0"/>
        <w:spacing w:after="160" w:before="0" w:line="240" w:lineRule="auto"/>
        <w:ind w:firstLine="720"/>
        <w:jc w:val="both"/>
      </w:pPr>
      <w:commentRangeStart w:id="2"/>
      <w:r>
        <w:rPr>
          <w:rFonts w:ascii="Times New Roman" w:hAnsi="Times New Roman" w:eastAsia="Times New Roman"/>
          <w:b w:val="0"/>
          <w:i w:val="0"/>
          <w:sz w:val="24"/>
        </w:rPr>
        <w:t>The study is an ecological territory-month time series for January 2013 through December 2023 (132 months). It cannot show effects for individual people, the cause of any admission, or day-level triggering [14]. The study was approved by the Institutional Review Board (IRB) of the HKU/Hospital Authority HK West Cluster (IRB reference number: UW XX-XXX).</w:t>
      </w:r>
      <w:commentRangeEnd w:id="2"/>
      <w:r>
        <w:rPr>
          <w:rStyle w:val="CommentReference"/>
        </w:rPr>
        <w:commentReference w:id="2"/>
      </w:r>
    </w:p>
    <w:p>
      <w:pPr>
        <w:keepNext/>
        <w:keepLines/>
        <w:spacing w:after="120" w:before="160" w:line="240" w:lineRule="auto"/>
        <w:ind w:firstLine="0"/>
        <w:jc w:val="left"/>
      </w:pPr>
      <w:r>
        <w:rPr>
          <w:rFonts w:ascii="Times New Roman" w:hAnsi="Times New Roman" w:eastAsia="Times New Roman"/>
          <w:b/>
          <w:i w:val="0"/>
          <w:sz w:val="24"/>
        </w:rPr>
        <w:t>Data sources</w:t>
      </w:r>
    </w:p>
    <w:p>
      <w:pPr>
        <w:keepNext/>
        <w:keepLines/>
        <w:spacing w:after="120" w:before="160" w:line="240" w:lineRule="auto"/>
        <w:ind w:firstLine="0"/>
        <w:jc w:val="left"/>
      </w:pPr>
      <w:r>
        <w:rPr>
          <w:rFonts w:ascii="Times New Roman" w:hAnsi="Times New Roman" w:eastAsia="Times New Roman"/>
          <w:b/>
          <w:i/>
          <w:sz w:val="24"/>
        </w:rPr>
        <w:t>Health data</w:t>
      </w:r>
    </w:p>
    <w:p>
      <w:pPr>
        <w:keepNext w:val="0"/>
        <w:spacing w:after="160" w:before="0" w:line="240" w:lineRule="auto"/>
        <w:ind w:firstLine="720"/>
        <w:jc w:val="both"/>
      </w:pPr>
      <w:commentRangeStart w:id="3"/>
      <w:commentRangeStart w:id="4"/>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during 2013–2023. For each person, the event is the first recorded hospitalisation after that person’s first CHD or HF diagnosis. Admission cause was not recorded. The monthly transfer does not specify a look-back or washout, whether the index stay is the diagnosis episode or a later any-cause stay, the ICD list, or whether the count includes day-procedure or emergency-department records. Age and sex strata were not included. Laboratory measurements were not in the transfer and are not analysed.</w:t>
      </w:r>
      <w:commentRangeEnd w:id="4"/>
      <w:r>
        <w:rPr>
          <w:rStyle w:val="CommentReference"/>
        </w:rPr>
        <w:commentReference w:id="4"/>
      </w:r>
      <w:commentRangeEnd w:id="3"/>
      <w:r>
        <w:rPr>
          <w:rStyle w:val="CommentReference"/>
        </w:rPr>
        <w:commentReference w:id="3"/>
      </w:r>
    </w:p>
    <w:p>
      <w:pPr>
        <w:keepNext w:val="0"/>
        <w:spacing w:after="160" w:before="0" w:line="240" w:lineRule="auto"/>
        <w:ind w:firstLine="720"/>
        <w:jc w:val="both"/>
      </w:pPr>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p>
    <w:p>
      <w:pPr>
        <w:keepNext/>
        <w:keepLines/>
        <w:spacing w:after="120" w:before="160" w:line="240" w:lineRule="auto"/>
        <w:ind w:firstLine="0"/>
        <w:jc w:val="left"/>
      </w:pPr>
      <w:r>
        <w:rPr>
          <w:rFonts w:ascii="Times New Roman" w:hAnsi="Times New Roman" w:eastAsia="Times New Roman"/>
          <w:b/>
          <w:i/>
          <w:sz w:val="24"/>
        </w:rPr>
        <w:t>Weather and pollutants data</w:t>
      </w:r>
    </w:p>
    <w:p>
      <w:pPr>
        <w:keepNext w:val="0"/>
        <w:spacing w:after="160" w:before="0" w:line="240" w:lineRule="auto"/>
        <w:ind w:firstLine="720"/>
        <w:jc w:val="both"/>
      </w:pPr>
      <w:commentRangeStart w:id="5"/>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w:t>
      </w:r>
      <w:commentRangeEnd w:id="5"/>
      <w:r>
        <w:rPr>
          <w:rStyle w:val="CommentReference"/>
        </w:rPr>
        <w:commentReference w:id="5"/>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w:t>
      </w:r>
      <w:r>
        <w:rPr>
          <w:rFonts w:ascii="Times New Roman" w:hAnsi="Times New Roman" w:eastAsia="Times New Roman"/>
          <w:b w:val="0"/>
          <w:i w:val="0"/>
          <w:sz w:val="24"/>
        </w:rPr>
        <w:t>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w:t>
      </w:r>
      <w:r>
        <w:rPr>
          <w:rFonts w:ascii="Times New Roman" w:hAnsi="Times New Roman" w:eastAsia="Times New Roman"/>
          <w:b w:val="0"/>
          <w:i w:val="0"/>
          <w:sz w:val="24"/>
        </w:rPr>
        <w:t>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w:t>
      </w:r>
      <w:r>
        <w:rPr>
          <w:rFonts w:ascii="Times New Roman" w:hAnsi="Times New Roman" w:eastAsia="Times New Roman"/>
          <w:b w:val="0"/>
          <w:i w:val="0"/>
          <w:sz w:val="24"/>
        </w:rPr>
        <w:t>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were obtained from the Hong Kong Environmental Protection Department (EPD). All monthly data were derived by taking the average of daily data in each calendar month.</w:t>
      </w:r>
    </w:p>
    <w:p>
      <w:pPr>
        <w:keepNext w:val="0"/>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w:t>
      </w:r>
      <w:r>
        <w:rPr>
          <w:rFonts w:ascii="Times New Roman" w:hAnsi="Times New Roman" w:eastAsia="Times New Roman"/>
          <w:b w:val="0"/>
          <w:i w:val="0"/>
          <w:sz w:val="24"/>
        </w:rPr>
        <w:t>PM</w:t>
      </w:r>
      <w:r>
        <w:rPr>
          <w:rFonts w:ascii="Times New Roman" w:hAnsi="Times New Roman" w:eastAsia="Times New Roman"/>
          <w:b w:val="0"/>
          <w:i w:val="0"/>
          <w:sz w:val="24"/>
          <w:vertAlign w:val="subscript"/>
        </w:rPr>
        <w:t>2.5</w:t>
      </w:r>
      <w:r>
        <w:rPr>
          <w:rFonts w:ascii="Times New Roman" w:hAnsi="Times New Roman" w:eastAsia="Times New Roman"/>
          <w:b w:val="0"/>
          <w:i w:val="0"/>
          <w:sz w:val="24"/>
        </w:rPr>
        <w:t>) from the same general stations was assembled for sensitivity analysis only.</w:t>
      </w:r>
    </w:p>
    <w:p>
      <w:pPr>
        <w:keepNext/>
        <w:keepLines/>
        <w:spacing w:after="120" w:before="160" w:line="240" w:lineRule="auto"/>
        <w:ind w:firstLine="0"/>
        <w:jc w:val="left"/>
      </w:pPr>
      <w:r>
        <w:rPr>
          <w:rFonts w:ascii="Times New Roman" w:hAnsi="Times New Roman" w:eastAsia="Times New Roman"/>
          <w:b/>
          <w:i/>
          <w:sz w:val="24"/>
        </w:rPr>
        <w:t>Population</w:t>
      </w:r>
    </w:p>
    <w:p>
      <w:pPr>
        <w:keepNext w:val="0"/>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[15]. Those figures describe the general population, not the type 2 diabetes and/or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keepNext/>
        <w:keepLines/>
        <w:spacing w:after="120" w:before="160" w:line="240" w:lineRule="auto"/>
        <w:ind w:firstLine="0"/>
        <w:jc w:val="left"/>
      </w:pPr>
      <w:r>
        <w:rPr>
          <w:rFonts w:ascii="Times New Roman" w:hAnsi="Times New Roman" w:eastAsia="Times New Roman"/>
          <w:b/>
          <w:i w:val="0"/>
          <w:sz w:val="24"/>
        </w:rPr>
        <w:t>Statistical analysis</w:t>
      </w:r>
    </w:p>
    <w:p>
      <w:pPr>
        <w:keepNext w:val="0"/>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Y_t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[16]:</w:t>
      </w:r>
    </w:p>
    <w:p>
      <w:pPr>
        <w:spacing w:after="160" w:before="0" w:line="240" w:lineRule="auto"/>
        <w:ind w:firstLine="0"/>
        <w:jc w:val="center"/>
      </w:pPr>
      <w:r>
        <w:rPr>
          <w:rFonts w:ascii="Times New Roman" w:hAnsi="Times New Roman" w:eastAsia="Times New Roman"/>
          <w:b w:val="0"/>
          <w:i/>
          <w:sz w:val="24"/>
        </w:rPr>
        <w:t>log E(Yₜ) = log(dₜ) + α + βXₜ + Σₘ₌₂¹² γₘ I(monthₜ = m) + s(t; 4 df).    (1)</w:t>
      </w:r>
    </w:p>
    <w:p>
      <w:pPr>
        <w:keepNext w:val="0"/>
        <w:spacing w:after="160" w:before="0" w:line="240" w:lineRule="auto"/>
        <w:ind w:firstLine="720"/>
        <w:jc w:val="both"/>
      </w:pPr>
      <w:r>
        <w:rPr>
          <w:rFonts w:ascii="Times New Roman" w:hAnsi="Times New Roman" w:eastAsia="Times New Roman"/>
          <w:b w:val="0"/>
          <w:i w:val="0"/>
          <w:sz w:val="24"/>
        </w:rPr>
        <w:t xml:space="preserve">Here </w:t>
      </w:r>
      <w:r>
        <w:rPr>
          <w:rFonts w:ascii="Times New Roman" w:hAnsi="Times New Roman" w:eastAsia="Times New Roman"/>
          <w:b w:val="0"/>
          <w:i/>
          <w:sz w:val="24"/>
        </w:rPr>
        <w:t>d_t</w:t>
      </w:r>
      <w:r>
        <w:rPr>
          <w:rFonts w:ascii="Times New Roman" w:hAnsi="Times New Roman" w:eastAsia="Times New Roman"/>
          <w:b w:val="0"/>
          <w:i w:val="0"/>
          <w:sz w:val="24"/>
        </w:rPr>
        <w:t xml:space="preserve"> is the number of days in month </w:t>
      </w:r>
      <w:r>
        <w:rPr>
          <w:rFonts w:ascii="Times New Roman" w:hAnsi="Times New Roman" w:eastAsia="Times New Roman"/>
          <w:b w:val="0"/>
          <w:i/>
          <w:sz w:val="24"/>
        </w:rPr>
        <w:t>t</w:t>
      </w:r>
      <w:r>
        <w:rPr>
          <w:rFonts w:ascii="Times New Roman" w:hAnsi="Times New Roman" w:eastAsia="Times New Roman"/>
          <w:b w:val="0"/>
          <w:i w:val="0"/>
          <w:sz w:val="24"/>
        </w:rPr>
        <w:t xml:space="preserve">; </w:t>
      </w:r>
      <w:r>
        <w:rPr>
          <w:rFonts w:ascii="Times New Roman" w:hAnsi="Times New Roman" w:eastAsia="Times New Roman"/>
          <w:b w:val="0"/>
          <w:i/>
          <w:sz w:val="24"/>
        </w:rPr>
        <w:t>alpha</w:t>
      </w:r>
      <w:r>
        <w:rPr>
          <w:rFonts w:ascii="Times New Roman" w:hAnsi="Times New Roman" w:eastAsia="Times New Roman"/>
          <w:b w:val="0"/>
          <w:i w:val="0"/>
          <w:sz w:val="24"/>
        </w:rPr>
        <w:t xml:space="preserve"> is the intercept; </w:t>
      </w:r>
      <w:r>
        <w:rPr>
          <w:rFonts w:ascii="Times New Roman" w:hAnsi="Times New Roman" w:eastAsia="Times New Roman"/>
          <w:b w:val="0"/>
          <w:i/>
          <w:sz w:val="24"/>
        </w:rPr>
        <w:t>X_t</w:t>
      </w:r>
      <w:r>
        <w:rPr>
          <w:rFonts w:ascii="Times New Roman" w:hAnsi="Times New Roman" w:eastAsia="Times New Roman"/>
          <w:b w:val="0"/>
          <w:i w:val="0"/>
          <w:sz w:val="24"/>
        </w:rPr>
        <w:t xml:space="preserve"> is one weather variable; </w:t>
      </w:r>
      <w:r>
        <w:rPr>
          <w:rFonts w:ascii="Times New Roman" w:hAnsi="Times New Roman" w:eastAsia="Times New Roman"/>
          <w:b w:val="0"/>
          <w:i/>
          <w:sz w:val="24"/>
        </w:rPr>
        <w:t>beta</w:t>
      </w:r>
      <w:r>
        <w:rPr>
          <w:rFonts w:ascii="Times New Roman" w:hAnsi="Times New Roman" w:eastAsia="Times New Roman"/>
          <w:b w:val="0"/>
          <w:i w:val="0"/>
          <w:sz w:val="24"/>
        </w:rPr>
        <w:t xml:space="preserve"> is the coefficient for that weather variable; </w:t>
      </w:r>
      <w:r>
        <w:rPr>
          <w:rFonts w:ascii="Times New Roman" w:hAnsi="Times New Roman" w:eastAsia="Times New Roman"/>
          <w:b w:val="0"/>
          <w:i/>
          <w:sz w:val="24"/>
        </w:rPr>
        <w:t>I(month_t = m)</w:t>
      </w:r>
      <w:r>
        <w:rPr>
          <w:rFonts w:ascii="Times New Roman" w:hAnsi="Times New Roman" w:eastAsia="Times New Roman"/>
          <w:b w:val="0"/>
          <w:i w:val="0"/>
          <w:sz w:val="24"/>
        </w:rPr>
        <w:t xml:space="preserve"> is 1 if month </w:t>
      </w:r>
      <w:r>
        <w:rPr>
          <w:rFonts w:ascii="Times New Roman" w:hAnsi="Times New Roman" w:eastAsia="Times New Roman"/>
          <w:b w:val="0"/>
          <w:i/>
          <w:sz w:val="24"/>
        </w:rPr>
        <w:t>t</w:t>
      </w:r>
      <w:r>
        <w:rPr>
          <w:rFonts w:ascii="Times New Roman" w:hAnsi="Times New Roman" w:eastAsia="Times New Roman"/>
          <w:b w:val="0"/>
          <w:i w:val="0"/>
          <w:sz w:val="24"/>
        </w:rPr>
        <w:t xml:space="preserve"> is calendar month </w:t>
      </w:r>
      <w:r>
        <w:rPr>
          <w:rFonts w:ascii="Times New Roman" w:hAnsi="Times New Roman" w:eastAsia="Times New Roman"/>
          <w:b w:val="0"/>
          <w:i/>
          <w:sz w:val="24"/>
        </w:rPr>
        <w:t>m</w:t>
      </w:r>
      <w:r>
        <w:rPr>
          <w:rFonts w:ascii="Times New Roman" w:hAnsi="Times New Roman" w:eastAsia="Times New Roman"/>
          <w:b w:val="0"/>
          <w:i w:val="0"/>
          <w:sz w:val="24"/>
        </w:rPr>
        <w:t xml:space="preserve"> and 0 otherwise (January is the reference month); </w:t>
      </w:r>
      <w:r>
        <w:rPr>
          <w:rFonts w:ascii="Times New Roman" w:hAnsi="Times New Roman" w:eastAsia="Times New Roman"/>
          <w:b w:val="0"/>
          <w:i/>
          <w:sz w:val="24"/>
        </w:rPr>
        <w:t>gamma_m</w:t>
      </w:r>
      <w:r>
        <w:rPr>
          <w:rFonts w:ascii="Times New Roman" w:hAnsi="Times New Roman" w:eastAsia="Times New Roman"/>
          <w:b w:val="0"/>
          <w:i w:val="0"/>
          <w:sz w:val="24"/>
        </w:rPr>
        <w:t xml:space="preserve"> is the calendar-month coefficient relative to January; and </w:t>
      </w:r>
      <w:r>
        <w:rPr>
          <w:rFonts w:ascii="Times New Roman" w:hAnsi="Times New Roman" w:eastAsia="Times New Roman"/>
          <w:b w:val="0"/>
          <w:i/>
          <w:sz w:val="24"/>
        </w:rPr>
        <w:t>s(t; 4~df)</w:t>
      </w:r>
      <w:r>
        <w:rPr>
          <w:rFonts w:ascii="Times New Roman" w:hAnsi="Times New Roman" w:eastAsia="Times New Roman"/>
          <w:b w:val="0"/>
          <w:i w:val="0"/>
          <w:sz w:val="24"/>
        </w:rPr>
        <w:t xml:space="preserve"> is a 4-df time smooth. The estimate we report is </w:t>
      </w:r>
      <w:r>
        <w:rPr>
          <w:rFonts w:ascii="Times New Roman" w:hAnsi="Times New Roman" w:eastAsia="Times New Roman"/>
          <w:b w:val="0"/>
          <w:i/>
          <w:sz w:val="24"/>
        </w:rPr>
        <w:t>e^{beta}</w:t>
      </w:r>
      <w:r>
        <w:rPr>
          <w:rFonts w:ascii="Times New Roman" w:hAnsi="Times New Roman" w:eastAsia="Times New Roman"/>
          <w:b w:val="0"/>
          <w:i w:val="0"/>
          <w:sz w:val="24"/>
        </w:rPr>
        <w:t>, the ratio of expected monthly counts for a 1 °C change in a temperature variable or a five-day change in an official day count.</w:t>
      </w:r>
    </w:p>
    <w:p>
      <w:pPr>
        <w:keepNext w:val="0"/>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keepNext w:val="0"/>
        <w:spacing w:after="160" w:before="0" w:line="240" w:lineRule="auto"/>
        <w:ind w:firstLine="720"/>
        <w:jc w:val="both"/>
      </w:pPr>
      <w:r>
        <w:rPr>
          <w:rFonts w:ascii="Times New Roman" w:hAnsi="Times New Roman" w:eastAsia="Times New Roman"/>
          <w:b w:val="0"/>
          <w:i w:val="0"/>
          <w:sz w:val="24"/>
        </w:rPr>
        <w:t xml:space="preserve">We report 95% confidence intervals in four ways: the model’s own standard errors, HC1, Newey–West with a lag of 3 months, and Newey–West with a lag of 6 months [17]. Displayed official-day intervals in the text and in Table 2 use the lag-6 construction as a display convention, not because that interval excludes 1. The four-construction ladder is always shown for CHD hot nights and HF cold days (Table 5). No interval is chosen because it excludes 1. Multiplicity-adjusted </w:t>
      </w:r>
      <w:r>
        <w:rPr>
          <w:rFonts w:ascii="Times New Roman" w:hAnsi="Times New Roman" w:eastAsia="Times New Roman"/>
          <w:b w:val="0"/>
          <w:i/>
          <w:sz w:val="24"/>
        </w:rPr>
        <w:t>q</w:t>
      </w:r>
      <w:r>
        <w:rPr>
          <w:rFonts w:ascii="Times New Roman" w:hAnsi="Times New Roman" w:eastAsia="Times New Roman"/>
          <w:b w:val="0"/>
          <w:i w:val="0"/>
          <w:sz w:val="24"/>
        </w:rPr>
        <w:t xml:space="preserve">-values were computed from the twelve full-window Newey–West lag-6 Wald </w:t>
      </w:r>
      <w:r>
        <w:rPr>
          <w:rFonts w:ascii="Times New Roman" w:hAnsi="Times New Roman" w:eastAsia="Times New Roman"/>
          <w:b w:val="0"/>
          <w:i/>
          <w:sz w:val="24"/>
        </w:rPr>
        <w:t>p</w:t>
      </w:r>
      <w:r>
        <w:rPr>
          <w:rFonts w:ascii="Times New Roman" w:hAnsi="Times New Roman" w:eastAsia="Times New Roman"/>
          <w:b w:val="0"/>
          <w:i w:val="0"/>
          <w:sz w:val="24"/>
        </w:rPr>
        <w:t xml:space="preserve"> values only, not from model-based </w:t>
      </w:r>
      <w:r>
        <w:rPr>
          <w:rFonts w:ascii="Times New Roman" w:hAnsi="Times New Roman" w:eastAsia="Times New Roman"/>
          <w:b w:val="0"/>
          <w:i/>
          <w:sz w:val="24"/>
        </w:rPr>
        <w:t>p</w:t>
      </w:r>
      <w:r>
        <w:rPr>
          <w:rFonts w:ascii="Times New Roman" w:hAnsi="Times New Roman" w:eastAsia="Times New Roman"/>
          <w:b w:val="0"/>
          <w:i w:val="0"/>
          <w:sz w:val="24"/>
        </w:rPr>
        <w:t xml:space="preserve"> [18]. Nested-window, COVID-phase, spline-df, influence-month, and joint-model fits are outside that family.</w:t>
      </w:r>
    </w:p>
    <w:p>
      <w:pPr>
        <w:keepNext w:val="0"/>
        <w:spacing w:after="160" w:before="0" w:line="240" w:lineRule="auto"/>
        <w:ind w:firstLine="720"/>
        <w:jc w:val="both"/>
      </w:pPr>
      <w:r>
        <w:rPr>
          <w:rFonts w:ascii="Times New Roman" w:hAnsi="Times New Roman" w:eastAsia="Times New Roman"/>
          <w:b w:val="0"/>
          <w:i w:val="0"/>
          <w:sz w:val="24"/>
        </w:rPr>
        <w:t>The nested specification repeats equation (1) on January 2013–December 2019 (84 months contained in the 132). This is an overlapping-sample refit: month factors and the 4-df spline are re-estimated, with knots on the subset. The difference is not a fitted pre/post effect. No exposure × period interaction was fitted, and no 48-month post-2020 Model 1 table is reported. COVID-period indicators on the full sample (through January 2020; February 2020–December 2021; January–April 2022; May–December 2022; from January 2023) are five intercept levels, a full-sample adjustment rather than a third window. They do not replace Model 1.</w:t>
      </w:r>
    </w:p>
    <w:p>
      <w:pPr>
        <w:keepNext w:val="0"/>
        <w:spacing w:after="160" w:before="0" w:line="240" w:lineRule="auto"/>
        <w:ind w:firstLine="720"/>
        <w:jc w:val="both"/>
      </w:pPr>
      <w:commentRangeStart w:id="6"/>
      <w:r>
        <w:rPr>
          <w:rFonts w:ascii="Times New Roman" w:hAnsi="Times New Roman" w:eastAsia="Times New Roman"/>
          <w:b w:val="0"/>
          <w:i w:val="0"/>
          <w:sz w:val="24"/>
        </w:rPr>
        <w:t>Model 2 additionally adds monthly mean relative humidity [8] and monthly total rainfall [19] to Model 1. Model 3 counts, for each month, the days whose daily mean temperature was above or below the historical average for that day of the year. Model 2 and Model 3 are specified and are not reported as headline estimates. No Model 3 health coefficients are reported.</w:t>
      </w:r>
      <w:commentRangeEnd w:id="6"/>
      <w:r>
        <w:rPr>
          <w:rStyle w:val="CommentReference"/>
        </w:rPr>
        <w:commentReference w:id="6"/>
      </w:r>
    </w:p>
    <w:p>
      <w:pPr>
        <w:keepNext/>
        <w:keepLines/>
        <w:spacing w:after="120" w:before="160" w:line="240" w:lineRule="auto"/>
        <w:ind w:firstLine="0"/>
        <w:jc w:val="left"/>
      </w:pPr>
      <w:r>
        <w:rPr>
          <w:rFonts w:ascii="Times New Roman" w:hAnsi="Times New Roman" w:eastAsia="Times New Roman"/>
          <w:b/>
          <w:i w:val="0"/>
          <w:sz w:val="24"/>
        </w:rPr>
        <w:t>Sensitivity analysis</w:t>
      </w:r>
    </w:p>
    <w:p>
      <w:pPr>
        <w:keepNext w:val="0"/>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rPr>
        <w:t xml:space="preserve">^(3/5) and the count ratio per one day is </w:t>
      </w:r>
      <w:r>
        <w:rPr>
          <w:rFonts w:ascii="Times New Roman" w:hAnsi="Times New Roman" w:eastAsia="Times New Roman"/>
          <w:b w:val="0"/>
          <w:i/>
          <w:sz w:val="24"/>
        </w:rPr>
        <w:t>R</w:t>
      </w:r>
      <w:r>
        <w:rPr>
          <w:rFonts w:ascii="Times New Roman" w:hAnsi="Times New Roman" w:eastAsia="Times New Roman"/>
          <w:b w:val="0"/>
          <w:i w:val="0"/>
          <w:sz w:val="24"/>
        </w:rPr>
        <w:t>^(1/5). Those are the same coefficient on a different scale, not a new model.</w:t>
      </w:r>
    </w:p>
    <w:p>
      <w:pPr>
        <w:keepNext w:val="0"/>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dropping the first 12 or 24 months; weather one or two months earlier; and dropping the most influential month. Those checks change the control for slow calendar time, not the length of a heatwave. Cold-day models restricted to November–March are a labelled sensitivity. Further checks used general-population × days as the offset (still a count ratio, not cohort incidence); maximum and minimum temperature in one model, or the three official extreme-day counts in one model; influenza on the 121 months with data; and nitrogen dioxide or PM2.5. Models that added pollution or influenza are extra checks, not replacements for Model 1.</w:t>
      </w:r>
    </w:p>
    <w:p>
      <w:pPr>
        <w:keepNext w:val="0"/>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keepNext w:val="0"/>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[20,21]. We did not apply that method to the hospital counts.</w:t>
      </w:r>
    </w:p>
    <w:p>
      <w:pPr>
        <w:keepNext w:val="0"/>
        <w:spacing w:after="160" w:before="0" w:line="240" w:lineRule="auto"/>
        <w:ind w:firstLine="720"/>
        <w:jc w:val="both"/>
      </w:pPr>
      <w:r>
        <w:rPr>
          <w:rFonts w:ascii="Times New Roman" w:hAnsi="Times New Roman" w:eastAsia="Times New Roman"/>
          <w:b w:val="0"/>
          <w:i w:val="0"/>
          <w:sz w:val="24"/>
        </w:rPr>
        <w:t>A labelled synthetic exercise on a 132-month count process, not on Hospital Authority rows, asked whether a constant thermal coefficient can look attenuated in a full-window fit when utilisation falls after month 84, when influenza-like co-circulation is zeroed after month 84, or when both occur. Those files are a methods warning. They are not Hong Kong count ratios and are not quoted as estimates.</w:t>
      </w:r>
    </w:p>
    <w:p>
      <w:pPr>
        <w:keepNext/>
        <w:keepLines/>
        <w:spacing w:after="120" w:before="160" w:line="240" w:lineRule="auto"/>
        <w:ind w:firstLine="0"/>
        <w:jc w:val="left"/>
      </w:pPr>
      <w:r>
        <w:rPr>
          <w:rFonts w:ascii="Times New Roman" w:hAnsi="Times New Roman" w:eastAsia="Times New Roman"/>
          <w:b/>
          <w:i w:val="0"/>
          <w:sz w:val="24"/>
        </w:rPr>
        <w:t>Software</w:t>
      </w:r>
    </w:p>
    <w:p>
      <w:pPr>
        <w:keepNext w:val="0"/>
        <w:spacing w:after="160" w:before="0" w:line="240" w:lineRule="auto"/>
        <w:ind w:firstLine="720"/>
        <w:jc w:val="both"/>
      </w:pPr>
      <w:r>
        <w:rPr>
          <w:rFonts w:ascii="Times New Roman" w:hAnsi="Times New Roman" w:eastAsia="Times New Roman"/>
          <w:b w:val="0"/>
          <w:i w:val="0"/>
          <w:sz w:val="24"/>
        </w:rPr>
        <w:t xml:space="preserve">Analyses were conducted in R 4.3.3 (2024-02-29). Negative-binomial models used </w:t>
      </w:r>
      <w:r>
        <w:rPr>
          <w:rFonts w:ascii="Times New Roman" w:hAnsi="Times New Roman" w:eastAsia="Times New Roman"/>
          <w:b w:val="0"/>
          <w:i/>
          <w:sz w:val="24"/>
        </w:rPr>
        <w:t>MASS::glm.nb</w:t>
      </w:r>
      <w:r>
        <w:rPr>
          <w:rFonts w:ascii="Times New Roman" w:hAnsi="Times New Roman" w:eastAsia="Times New Roman"/>
          <w:b w:val="0"/>
          <w:i w:val="0"/>
          <w:sz w:val="24"/>
        </w:rPr>
        <w:t xml:space="preserve"> (MASS 7.3-60.0.1). Newey–West and HC1 standard errors used </w:t>
      </w:r>
      <w:r>
        <w:rPr>
          <w:rFonts w:ascii="Times New Roman" w:hAnsi="Times New Roman" w:eastAsia="Times New Roman"/>
          <w:b w:val="0"/>
          <w:i/>
          <w:sz w:val="24"/>
        </w:rPr>
        <w:t>sandwich</w:t>
      </w:r>
      <w:r>
        <w:rPr>
          <w:rFonts w:ascii="Times New Roman" w:hAnsi="Times New Roman" w:eastAsia="Times New Roman"/>
          <w:b w:val="0"/>
          <w:i w:val="0"/>
          <w:sz w:val="24"/>
        </w:rPr>
        <w:t xml:space="preserve"> 3.1.3. Natural cubic splines used </w:t>
      </w:r>
      <w:r>
        <w:rPr>
          <w:rFonts w:ascii="Times New Roman" w:hAnsi="Times New Roman" w:eastAsia="Times New Roman"/>
          <w:b w:val="0"/>
          <w:i/>
          <w:sz w:val="24"/>
        </w:rPr>
        <w:t>splines::ns</w:t>
      </w:r>
      <w:r>
        <w:rPr>
          <w:rFonts w:ascii="Times New Roman" w:hAnsi="Times New Roman" w:eastAsia="Times New Roman"/>
          <w:b w:val="0"/>
          <w:i w:val="0"/>
          <w:sz w:val="24"/>
        </w:rPr>
        <w:t>.</w:t>
      </w:r>
    </w:p>
    <w:p>
      <w:pPr>
        <w:keepNext/>
        <w:keepLines/>
        <w:spacing w:after="120" w:before="240" w:line="240" w:lineRule="auto"/>
        <w:ind w:firstLine="0"/>
        <w:jc w:val="left"/>
      </w:pPr>
      <w:r>
        <w:rPr>
          <w:rFonts w:ascii="Times New Roman" w:hAnsi="Times New Roman" w:eastAsia="Times New Roman"/>
          <w:b/>
          <w:i w:val="0"/>
          <w:sz w:val="28"/>
        </w:rPr>
        <w:t>Results</w:t>
      </w:r>
    </w:p>
    <w:p>
      <w:pPr>
        <w:keepNext/>
        <w:keepLines/>
        <w:spacing w:after="120" w:before="160" w:line="240" w:lineRule="auto"/>
        <w:ind w:firstLine="0"/>
        <w:jc w:val="left"/>
      </w:pPr>
      <w:r>
        <w:rPr>
          <w:rFonts w:ascii="Times New Roman" w:hAnsi="Times New Roman" w:eastAsia="Times New Roman"/>
          <w:b/>
          <w:i w:val="0"/>
          <w:sz w:val="24"/>
        </w:rPr>
        <w:t>Outcome series</w:t>
      </w:r>
    </w:p>
    <w:p>
      <w:pPr>
        <w:keepNext/>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w:t>
      </w:r>
    </w:p>
    <w:p>
      <w:pPr>
        <w:keepNext/>
        <w:keepLines/>
        <w:spacing w:after="12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1728"/>
        <w:gridCol w:w="1036"/>
        <w:gridCol w:w="835"/>
        <w:gridCol w:w="1123"/>
        <w:gridCol w:w="979"/>
        <w:gridCol w:w="3081"/>
      </w:tblGrid>
      <w:tr>
        <w:trPr>
          <w:cantSplit/>
          <w:tblHeader/>
        </w:trPr>
        <w:tc>
          <w:tcPr>
            <w:tcW w:type="dxa" w:w="17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03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83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123"/>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979"/>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308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172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03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835"/>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123"/>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979"/>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308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 admission cause not recorded; not principal diagnosis; not AMI</w:t>
            </w:r>
          </w:p>
        </w:tc>
      </w:tr>
      <w:tr>
        <w:trPr>
          <w:cantSplit/>
        </w:trPr>
        <w:tc>
          <w:tcPr>
            <w:tcW w:type="dxa" w:w="172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Heart failure</w:t>
            </w:r>
          </w:p>
        </w:tc>
        <w:tc>
          <w:tcPr>
            <w:tcW w:type="dxa" w:w="103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2013–2023</w:t>
            </w:r>
          </w:p>
        </w:tc>
        <w:tc>
          <w:tcPr>
            <w:tcW w:type="dxa" w:w="835"/>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132</w:t>
            </w:r>
          </w:p>
        </w:tc>
        <w:tc>
          <w:tcPr>
            <w:tcW w:type="dxa" w:w="1123"/>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29,681</w:t>
            </w:r>
          </w:p>
        </w:tc>
        <w:tc>
          <w:tcPr>
            <w:tcW w:type="dxa" w:w="979"/>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224.9</w:t>
            </w:r>
          </w:p>
        </w:tc>
        <w:tc>
          <w:tcPr>
            <w:tcW w:type="dxa" w:w="308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First recorded hospitalisation after first HF diagnosis; admission cause not recorded; not principal diagnosis; not AMI</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Annual totals were highest in 2013 (CHD 23,830; HF 4,336), already near half by 2019 (CHD 12,396; HF 2,344), lowest in 2020 (CHD 10,237; HF 1,964), and in 2023 had returned toward 2019 (CHD 12,323; HF 2,296). Over the same years, the interpolated Census and Statistics Department population aged 35 years or older rose by 17%. That series is not the type 2 diabetes or hypertension group still at risk of a first event, and Figure 1 is not an incidence series. Figure 1 is the count-path object. The decline in first-event counts is not a measure of physiological improvement. It does not quantify depletion without monthly still-at-risk person-time. Mean monthly HF counts were highest in January (287) and lowest in September (196). CHD showed a milder winter elevation (January 1,386; September 1,097). After calendar-month indicators, the official-day estimates ask whether a given January or July differs from a typical January or July. They do not ask whether winter counts exceed summer counts.</w:t>
      </w:r>
    </w:p>
    <w:p>
      <w:pPr>
        <w:keepNext/>
        <w:keepLines/>
        <w:spacing w:after="120" w:before="0" w:line="240" w:lineRule="auto"/>
        <w:ind w:firstLine="0"/>
        <w:jc w:val="left"/>
      </w:pPr>
      <w:r>
        <w:rPr>
          <w:rFonts w:ascii="Times New Roman" w:hAnsi="Times New Roman" w:eastAsia="Times New Roman"/>
          <w:b w:val="0"/>
          <w:i/>
          <w:sz w:val="22"/>
        </w:rPr>
        <w:t>Figure 1. First-event counts fell while the general population aged 35 years or older rose. Index years 2013, 2019, 2020, and 2023. CHD 23,830 (2013) → 12,396 (2019) → 10,237 (2020) → 12,323 (2023); HF 4,336 → 2,344 → 1,964 → 2,296. The dashed line marks the nested 84-month window. Source: governed Hospital Authority aggregate annual totals; Census and Statistics Department mid-year population aged 35 years or older. The Census series is not the still-at-risk set. The figure is the count-path object. It is not incidence, not a physiological series, and not a consecutive hot- or cold-spell display.</w:t>
      </w:r>
    </w:p>
    <w:p>
      <w:pPr>
        <w:keepLines/>
        <w:spacing w:after="160" w:before="0" w:line="240" w:lineRule="auto"/>
        <w:ind w:firstLine="0"/>
        <w:jc w:val="center"/>
      </w:pPr>
      <w:r>
        <w:drawing>
          <wp:inline xmlns:a="http://schemas.openxmlformats.org/drawingml/2006/main" xmlns:pic="http://schemas.openxmlformats.org/drawingml/2006/picture">
            <wp:extent cx="5577840" cy="4531995"/>
            <wp:docPr id="1" name="Picture 1"/>
            <wp:cNvGraphicFramePr>
              <a:graphicFrameLocks noChangeAspect="1"/>
            </wp:cNvGraphicFramePr>
            <a:graphic>
              <a:graphicData uri="http://schemas.openxmlformats.org/drawingml/2006/picture">
                <pic:pic>
                  <pic:nvPicPr>
                    <pic:cNvPr id="0" name="figure_1_count_path.png"/>
                    <pic:cNvPicPr/>
                  </pic:nvPicPr>
                  <pic:blipFill>
                    <a:blip r:embed="rId11"/>
                    <a:stretch>
                      <a:fillRect/>
                    </a:stretch>
                  </pic:blipFill>
                  <pic:spPr>
                    <a:xfrm>
                      <a:off x="0" y="0"/>
                      <a:ext cx="5577840" cy="4531995"/>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Nested-window official-day panel</w:t>
      </w:r>
    </w:p>
    <w:p>
      <w:pPr>
        <w:keepNext w:val="0"/>
        <w:spacing w:after="160" w:before="0" w:line="240" w:lineRule="auto"/>
        <w:ind w:firstLine="720"/>
        <w:jc w:val="both"/>
      </w:pPr>
      <w:r>
        <w:rPr>
          <w:rFonts w:ascii="Times New Roman" w:hAnsi="Times New Roman" w:eastAsia="Times New Roman"/>
          <w:b w:val="0"/>
          <w:i w:val="0"/>
          <w:sz w:val="24"/>
        </w:rPr>
        <w:t>Table 2 reports the official-day Model 1 count ratios, per five additional such days in the month, for the full 132 months and for the nested 84 months. The 84 months are contained in the 132. The nested specification is an overlapping-sample refit: calendar-month factors and the 4-df spline are re-estimated, and spline knots follow the subset. The two columns are not independent periods, and their difference is not a fitted pre/post effect. Interval overlap between the two columns is not a test of a window difference, and discordance of whether 1 is excluded is not such a test. Figure 1 is the count-path object. Figure 2 is the ruling-out exhibit: the same six official-day ratios on those two windows.</w:t>
      </w:r>
    </w:p>
    <w:p>
      <w:pPr>
        <w:keepNext w:val="0"/>
        <w:spacing w:after="160" w:before="0" w:line="240" w:lineRule="auto"/>
        <w:ind w:firstLine="720"/>
        <w:jc w:val="both"/>
      </w:pPr>
      <w:r>
        <w:rPr>
          <w:rFonts w:ascii="Times New Roman" w:hAnsi="Times New Roman" w:eastAsia="Times New Roman"/>
          <w:b w:val="0"/>
          <w:i w:val="0"/>
          <w:sz w:val="24"/>
        </w:rPr>
        <w:t>Mean official hot nights were 2.7 per month in 2013–2019 and 4.5 per month in 2020–2022. Of 145 official cold days in 2013–2023, 141 fell in December–February (December 40, January 54, February 47), and 4 fell in March. Twenty-nine of 132 months carried at least one official cold day. After calendar-month indicators, the remaining cold-day variation is between-year winter variation, not a summer-versus-winter contrast, and not a consecutive-duration spell.</w:t>
      </w:r>
    </w:p>
    <w:p>
      <w:pPr>
        <w:keepNext/>
        <w:keepLines/>
        <w:spacing w:after="120" w:before="0" w:line="240" w:lineRule="auto"/>
        <w:ind w:firstLine="0"/>
        <w:jc w:val="left"/>
      </w:pPr>
      <w:r>
        <w:rPr>
          <w:rFonts w:ascii="Times New Roman" w:hAnsi="Times New Roman" w:eastAsia="Times New Roman"/>
          <w:b w:val="0"/>
          <w:i/>
          <w:sz w:val="22"/>
        </w:rPr>
        <w:t>Figure 2. Official-day Model 1 count ratios on the nested 84 months and on the full 132 months (Newey–West lag-6 intervals). Each estimate is the count ratio per five additional official days in the month. The nested 84 months (January 2013–December 2019) are contained in the 132; the 4-df time spline is re-knotted on the subset. This is an overlapping-sample refit, not a pre/post effect. Colour marks the analysis window, not whether an interval excludes 1. Trend-spline and COVID-phase intercept checks are labelled in the text; they are not a second thermal primary.</w:t>
      </w:r>
    </w:p>
    <w:p>
      <w:pPr>
        <w:keepLines/>
        <w:spacing w:after="160" w:before="0" w:line="240" w:lineRule="auto"/>
        <w:ind w:firstLine="0"/>
        <w:jc w:val="center"/>
      </w:pPr>
      <w:r>
        <w:drawing>
          <wp:inline xmlns:a="http://schemas.openxmlformats.org/drawingml/2006/main" xmlns:pic="http://schemas.openxmlformats.org/drawingml/2006/picture">
            <wp:extent cx="5577840" cy="5799183"/>
            <wp:docPr id="2" name="Picture 2"/>
            <wp:cNvGraphicFramePr>
              <a:graphicFrameLocks noChangeAspect="1"/>
            </wp:cNvGraphicFramePr>
            <a:graphic>
              <a:graphicData uri="http://schemas.openxmlformats.org/drawingml/2006/picture">
                <pic:pic>
                  <pic:nvPicPr>
                    <pic:cNvPr id="0" name="figure_2_nested_vs_full.png"/>
                    <pic:cNvPicPr/>
                  </pic:nvPicPr>
                  <pic:blipFill>
                    <a:blip r:embed="rId12"/>
                    <a:stretch>
                      <a:fillRect/>
                    </a:stretch>
                  </pic:blipFill>
                  <pic:spPr>
                    <a:xfrm>
                      <a:off x="0" y="0"/>
                      <a:ext cx="5577840" cy="5799183"/>
                    </a:xfrm>
                    <a:prstGeom prst="rect"/>
                  </pic:spPr>
                </pic:pic>
              </a:graphicData>
            </a:graphic>
          </wp:inline>
        </w:drawing>
      </w:r>
    </w:p>
    <w:p>
      <w:pPr>
        <w:keepNext w:val="0"/>
        <w:spacing w:after="160" w:before="0" w:line="240" w:lineRule="auto"/>
        <w:ind w:firstLine="720"/>
        <w:jc w:val="both"/>
      </w:pPr>
      <w:r>
        <w:rPr>
          <w:rFonts w:ascii="Times New Roman" w:hAnsi="Times New Roman" w:eastAsia="Times New Roman"/>
          <w:b w:val="0"/>
          <w:i w:val="0"/>
          <w:sz w:val="24"/>
        </w:rPr>
        <w:t xml:space="preserve">Point estimates moved. The HF cold-day ratio was 1.113 (1.053–1.176) in the nested window and 1.073 (1.006–1.144) over the full window. The CHD cold-day ratio was 1.036 (1.007–1.067) in the nested window and 0.995 (0.949–1.043) in the full window. The CHD hot-night ratio was 1.011 (0.991–1.032) in the nested window and 1.022 (1.002–1.042) in the full window. Cold-day points moved toward 1 when the later years were added; the CHD hot-night point was larger only in the full window. HF hot nights moved from 0.965 (0.937–0.994) in the nested window to 1.003 (0.976–1.031) in the full window, the opposite of CHD hot nights. Displayed lag-6 intervals are a convention, not a window test. For full-window CHD hot nights the lag-6 interval is 1.022 (1.002–1.042) and excludes 1, while the model-based 1.022 (0.995–1.049) and HC1 1.022 (0.997–1.047) intervals include 1 (Table 5). Both full-window official-day rows in Table 2 have </w:t>
      </w:r>
      <w:r>
        <w:rPr>
          <w:rFonts w:ascii="Times New Roman" w:hAnsi="Times New Roman" w:eastAsia="Times New Roman"/>
          <w:b w:val="0"/>
          <w:i/>
          <w:sz w:val="24"/>
        </w:rPr>
        <w:t>q</w:t>
      </w:r>
      <w:r>
        <w:rPr>
          <w:rFonts w:ascii="Times New Roman" w:hAnsi="Times New Roman" w:eastAsia="Times New Roman"/>
          <w:b w:val="0"/>
          <w:i w:val="0"/>
          <w:sz w:val="24"/>
        </w:rPr>
        <w:t xml:space="preserve"> = 0.192. Nested-window intervals have no multiplicity control. COVID-phase intercepts on the full sample, an adjustment rather than a third window, moved the CHD hot-night ratio to 1.013 (0.994–1.033) and left the HF cold-day ratio at 1.074 (1.006–1.145). Extra time steps can absorb a slow hot-night trend; that is overcontrol, not a period effect. There is no 48-month post-2020 Model 1 table. Movement of a monthly count-ratio point estimate is not a measure of physiological improvement.</w:t>
      </w:r>
    </w:p>
    <w:p>
      <w:pPr>
        <w:keepNext w:val="0"/>
        <w:spacing w:after="160" w:before="0" w:line="240" w:lineRule="auto"/>
        <w:ind w:firstLine="720"/>
        <w:jc w:val="both"/>
      </w:pPr>
      <w:r>
        <w:rPr>
          <w:rFonts w:ascii="Times New Roman" w:hAnsi="Times New Roman" w:eastAsia="Times New Roman"/>
          <w:b w:val="0"/>
          <w:i w:val="0"/>
          <w:sz w:val="24"/>
        </w:rPr>
        <w:t>The exhibit that can be read from Table 2, Figure 2, and Table 3 is that official-day point estimates are not invariant to the window, that cold-day and CHD hot-night points move in opposite directions, and that nested-window mean temperature is not the same contrast as official day counts. That is not a formal test of a window difference. Attenuation of the HF cold-day point toward 1 is predicted if utilisation falls after month 84 while a thermal coefficient is constant, so that movement is not a disproof of weather. Nested containment means that stability of the ratios is a weak falsifier. The 4-df spline absorbs the first-event count path and the hot-night trend. Official day counts remain part of the exposure record.</w:t>
      </w:r>
    </w:p>
    <w:p>
      <w:pPr>
        <w:keepNext/>
        <w:keepLines/>
        <w:spacing w:after="120" w:before="0" w:line="240" w:lineRule="auto"/>
        <w:ind w:firstLine="0"/>
        <w:jc w:val="left"/>
      </w:pPr>
      <w:r>
        <w:rPr>
          <w:rFonts w:ascii="Times New Roman" w:hAnsi="Times New Roman" w:eastAsia="Times New Roman"/>
          <w:b w:val="0"/>
          <w:i/>
          <w:sz w:val="22"/>
        </w:rPr>
        <w:t>Table 2. Official-day count ratios in the full 132-month window and in the nested 84-month overlapping refit (Newey–West lag-6 display). Each estimate is the Model 1 count ratio per five additional official days in the month. The nested 84 months are contained in the 132; the columns are not a period contrast. Benjamini–Hochberg q-values apply to the twelve full-window Newey–West lag-6 Wald p values only.</w:t>
      </w:r>
    </w:p>
    <w:tbl>
      <w:tblPr>
        <w:tblStyle w:val="TableGrid"/>
        <w:tblLayout w:type="fixed"/>
        <w:tblLook w:firstColumn="1" w:firstRow="1" w:lastColumn="0" w:lastRow="0" w:noHBand="0" w:noVBand="1" w:val="04A0"/>
        <w:tblW w:w="5000" w:type="pct"/>
        <w:tblLayout w:type="fixed"/>
      </w:tblPr>
      <w:tblGrid>
        <w:gridCol w:w="1224"/>
        <w:gridCol w:w="2088"/>
        <w:gridCol w:w="2736"/>
        <w:gridCol w:w="2736"/>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Full 132 months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84 ⊂ 132 (not a period effect)</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 q = 0.192</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0.997 (0.982–1.012)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(0.963–1.028)</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0.990 (0.960–1.021)</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 q = 0.192</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r>
    </w:tbl>
    <w:p>
      <w:pPr>
        <w:spacing w:after="120" w:before="0" w:line="240" w:lineRule="auto"/>
        <w:ind w:firstLine="0"/>
        <w:jc w:val="left"/>
      </w:pPr>
      <w:r>
        <w:rPr>
          <w:rFonts w:ascii="Times New Roman" w:hAnsi="Times New Roman" w:eastAsia="Times New Roman"/>
          <w:b w:val="0"/>
          <w:i w:val="0"/>
          <w:sz w:val="4"/>
        </w:rPr>
      </w:r>
    </w:p>
    <w:p>
      <w:pPr>
        <w:keepNext/>
        <w:keepLines/>
        <w:spacing w:after="120" w:before="160" w:line="240" w:lineRule="auto"/>
        <w:ind w:firstLine="0"/>
        <w:jc w:val="left"/>
      </w:pPr>
      <w:r>
        <w:rPr>
          <w:rFonts w:ascii="Times New Roman" w:hAnsi="Times New Roman" w:eastAsia="Times New Roman"/>
          <w:b/>
          <w:i w:val="0"/>
          <w:sz w:val="24"/>
        </w:rPr>
        <w:t>Encoding contrast</w:t>
      </w:r>
    </w:p>
    <w:p>
      <w:pPr>
        <w:keepNext w:val="0"/>
        <w:spacing w:after="160" w:before="0" w:line="240" w:lineRule="auto"/>
        <w:ind w:firstLine="720"/>
        <w:jc w:val="both"/>
      </w:pPr>
      <w:r>
        <w:rPr>
          <w:rFonts w:ascii="Times New Roman" w:hAnsi="Times New Roman" w:eastAsia="Times New Roman"/>
          <w:b w:val="0"/>
          <w:i w:val="0"/>
          <w:sz w:val="24"/>
        </w:rPr>
        <w:t>Table 3 places mean temperature beside the official-day headlines in the same two windows. In the nested window, mean temperature was inversely associated with both outcomes (CHD 0.980, 0.970–0.990; HF 0.945, 0.927–0.963). In the same 84 months, official cold days were positively associated with both outcomes, and official hot nights were compatible with 1 for CHD and inverse for HF. COVID-phase intercept adjustments on the full sample moved mean temperature to 0.989 (0.975–1.003) for CHD and 0.967 (0.944–0.991) for HF. Continuous monthly temperature and official day counts are therefore not interchangeable encodings of the same contrast. All six continuous-temperature contrasts were inverse in the nested window. No multiplicity control was computed within that window. No nested-window estimate is promoted beyond a labelled specification.</w:t>
      </w:r>
    </w:p>
    <w:p>
      <w:pPr>
        <w:keepNext/>
        <w:keepLines/>
        <w:spacing w:after="120" w:before="0" w:line="240" w:lineRule="auto"/>
        <w:ind w:firstLine="0"/>
        <w:jc w:val="left"/>
      </w:pPr>
      <w:r>
        <w:rPr>
          <w:rFonts w:ascii="Times New Roman" w:hAnsi="Times New Roman" w:eastAsia="Times New Roman"/>
          <w:b w:val="0"/>
          <w:i/>
          <w:sz w:val="22"/>
        </w:rPr>
        <w:t>Table 3. Mean temperature versus official-day encodings (Newey–West lag-6 display). COVID-phase values are intercept adjustments on the full 132 months, not a third window.</w:t>
      </w:r>
    </w:p>
    <w:tbl>
      <w:tblPr>
        <w:tblStyle w:val="TableGrid"/>
        <w:tblLayout w:type="fixed"/>
        <w:tblLook w:firstColumn="1" w:firstRow="1" w:lastColumn="0" w:lastRow="0" w:noHBand="0" w:noVBand="1" w:val="04A0"/>
        <w:tblW w:w="5000" w:type="pct"/>
        <w:tblLayout w:type="fixed"/>
      </w:tblPr>
      <w:tblGrid>
        <w:gridCol w:w="1152"/>
        <w:gridCol w:w="2232"/>
        <w:gridCol w:w="1800"/>
        <w:gridCol w:w="1800"/>
        <w:gridCol w:w="1800"/>
      </w:tblGrid>
      <w:tr>
        <w:trPr>
          <w:cantSplit/>
          <w:tblHeader/>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Encoding</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Full 132 months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84 ⊂ 132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Full-sample COVID-phase adjustment</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0.980 (0.970–0.990)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0.989 (0.975–1.003)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1.013 (0.994–1.033)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0.991 (0.943–1.041)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0.945 (0.927–0.963)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0.967 (0.944–0.991)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(0.972–1.016)</w:t>
            </w:r>
          </w:p>
        </w:tc>
      </w:tr>
      <w:tr>
        <w:trPr>
          <w:cantSplit/>
        </w:trPr>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1.074 (1.006–1.145)</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Across trend-spline checks, the nested overlapping refit, and the full-sample COVID-phase intercept adjustment, the CHD hot-night point estimate ranged from 1.011 to 1.025, and the HF cold-day point estimate from 1.043 to 1.113. That range of points is not robustness of exclusion of 1: under an 8-df spline, year indicators, or dropping the first 12 or 24 months, the displayed lag-6 interval for HF cold days includes 1. No trend specification is preferred over the 4-df spline in Model 1. The months with largest Cook’s distance were February 2020 for CHD and February 2022 for HF cold days. Excluding the most influential month left both exploratory directions unchanged (CHD hot nights 1.021 (1.001–1.040); HF cold days 1.088 (1.034–1.144)). Lag-one month is a labelled sensitivity. It is not a daily lag curve.</w:t>
      </w:r>
    </w:p>
    <w:p>
      <w:pPr>
        <w:keepNext/>
        <w:keepLines/>
        <w:spacing w:after="120" w:before="160" w:line="240" w:lineRule="auto"/>
        <w:ind w:firstLine="0"/>
        <w:jc w:val="left"/>
      </w:pPr>
      <w:r>
        <w:rPr>
          <w:rFonts w:ascii="Times New Roman" w:hAnsi="Times New Roman" w:eastAsia="Times New Roman"/>
          <w:b/>
          <w:i w:val="0"/>
          <w:sz w:val="24"/>
        </w:rPr>
        <w:t>Full-window twelve-fit panel</w:t>
      </w:r>
    </w:p>
    <w:p>
      <w:pPr>
        <w:keepNext w:val="0"/>
        <w:spacing w:after="160" w:before="0" w:line="240" w:lineRule="auto"/>
        <w:ind w:firstLine="720"/>
        <w:jc w:val="both"/>
      </w:pPr>
      <w:r>
        <w:rPr>
          <w:rFonts w:ascii="Times New Roman" w:hAnsi="Times New Roman" w:eastAsia="Times New Roman"/>
          <w:b w:val="0"/>
          <w:i w:val="0"/>
          <w:sz w:val="24"/>
        </w:rPr>
        <w:t>Table 4 reports the twelve separate-exposure count ratios under the offset for the number of days in the month and Newey–West lag-6 intervals. It is the full-window panel, not a second thermal primary.</w:t>
      </w:r>
    </w:p>
    <w:p>
      <w:pPr>
        <w:keepNext/>
        <w:keepLines/>
        <w:spacing w:after="120" w:before="0" w:line="240" w:lineRule="auto"/>
        <w:ind w:firstLine="0"/>
        <w:jc w:val="left"/>
      </w:pPr>
      <w:r>
        <w:rPr>
          <w:rFonts w:ascii="Times New Roman" w:hAnsi="Times New Roman" w:eastAsia="Times New Roman"/>
          <w:b w:val="0"/>
          <w:i/>
          <w:sz w:val="22"/>
        </w:rPr>
        <w:t>Table 4. Model 1 twelve-fit panel on the full 132-month window (days-in-month offset; Newey–West lag-6 intervals). Benjamini–Hochberg q is p.adjust of the twelve Newey–West lag-6 Wald p values, not model-based p.</w:t>
      </w:r>
    </w:p>
    <w:tbl>
      <w:tblPr>
        <w:tblStyle w:val="TableGrid"/>
        <w:tblLayout w:type="fixed"/>
        <w:tblLook w:firstColumn="1" w:firstRow="1" w:lastColumn="0" w:lastRow="0" w:noHBand="0" w:noVBand="1" w:val="04A0"/>
        <w:tblW w:w="5000" w:type="pct"/>
        <w:tblLayout w:type="fixed"/>
      </w:tblPr>
      <w:tblGrid>
        <w:gridCol w:w="1224"/>
        <w:gridCol w:w="2951"/>
        <w:gridCol w:w="2232"/>
        <w:gridCol w:w="1224"/>
        <w:gridCol w:w="1152"/>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Count ratio (95% CI)</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BH q</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0.424</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0.726</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(0.979–1.007)</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0.321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0.642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(0.977–1.012)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0.509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0.764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0.069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0.981 (0.958–1.005)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0.113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0.272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0.973 (0.947–1.000)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0.050</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0.825</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1.073 (1.006–1.144)</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0.995 (0.963–1.028)</w:t>
            </w:r>
          </w:p>
        </w:tc>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0.764</w:t>
            </w:r>
          </w:p>
        </w:tc>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0.900</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All twelve </w:t>
      </w:r>
      <w:r>
        <w:rPr>
          <w:rFonts w:ascii="Times New Roman" w:hAnsi="Times New Roman" w:eastAsia="Times New Roman"/>
          <w:b w:val="0"/>
          <w:i/>
          <w:sz w:val="24"/>
        </w:rPr>
        <w:t>q</w:t>
      </w:r>
      <w:r>
        <w:rPr>
          <w:rFonts w:ascii="Times New Roman" w:hAnsi="Times New Roman" w:eastAsia="Times New Roman"/>
          <w:b w:val="0"/>
          <w:i w:val="0"/>
          <w:sz w:val="24"/>
        </w:rPr>
        <w:t xml:space="preserve">-values exceeded 0.19, with a minimum of 0.192. No model meets a multiplicity-protected confirmatory threshold. The two smallest lag-6 </w:t>
      </w:r>
      <w:r>
        <w:rPr>
          <w:rFonts w:ascii="Times New Roman" w:hAnsi="Times New Roman" w:eastAsia="Times New Roman"/>
          <w:b w:val="0"/>
          <w:i/>
          <w:sz w:val="24"/>
        </w:rPr>
        <w:t>p</w:t>
      </w:r>
      <w:r>
        <w:rPr>
          <w:rFonts w:ascii="Times New Roman" w:hAnsi="Times New Roman" w:eastAsia="Times New Roman"/>
          <w:b w:val="0"/>
          <w:i w:val="0"/>
          <w:sz w:val="24"/>
        </w:rPr>
        <w:t xml:space="preserve"> values (HF cold days 0.031; CHD hot nights 0.032) are pulled to the same </w:t>
      </w:r>
      <w:r>
        <w:rPr>
          <w:rFonts w:ascii="Times New Roman" w:hAnsi="Times New Roman" w:eastAsia="Times New Roman"/>
          <w:b w:val="0"/>
          <w:i/>
          <w:sz w:val="24"/>
        </w:rPr>
        <w:t>q</w:t>
      </w:r>
      <w:r>
        <w:rPr>
          <w:rFonts w:ascii="Times New Roman" w:hAnsi="Times New Roman" w:eastAsia="Times New Roman"/>
          <w:b w:val="0"/>
          <w:i w:val="0"/>
          <w:sz w:val="24"/>
        </w:rPr>
        <w:t xml:space="preserve"> = 0.192 by the Benjamini–Hochberg step-up. Model-based </w:t>
      </w:r>
      <w:r>
        <w:rPr>
          <w:rFonts w:ascii="Times New Roman" w:hAnsi="Times New Roman" w:eastAsia="Times New Roman"/>
          <w:b w:val="0"/>
          <w:i/>
          <w:sz w:val="24"/>
        </w:rPr>
        <w:t>p</w:t>
      </w:r>
      <w:r>
        <w:rPr>
          <w:rFonts w:ascii="Times New Roman" w:hAnsi="Times New Roman" w:eastAsia="Times New Roman"/>
          <w:b w:val="0"/>
          <w:i w:val="0"/>
          <w:sz w:val="24"/>
        </w:rPr>
        <w:t xml:space="preserve"> for those rows are 0.004 and 0.112. The HF mean-minimum-temperature interval narrowly included 1, with an unrounded upper bound of 1.00005. For CHD, the continuous monthly temperature estimates were near null, between 0.993 and 0.994, whereas the official hot-night count estimate was larger under the displayed lag-6 construction. These encodings describe different monthly thermal questions. The contrast does not imply that a hot-night effect was missed by the means. It is not a test of hourly nighttime excess heat [9]. For HF, the continuous temperature estimates were weakly inverse, and the cold-day count estimate was positive.</w:t>
      </w:r>
    </w:p>
    <w:p>
      <w:pPr>
        <w:keepNext w:val="0"/>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keepNext/>
        <w:keepLines/>
        <w:spacing w:after="120" w:before="160" w:line="240" w:lineRule="auto"/>
        <w:ind w:firstLine="0"/>
        <w:jc w:val="left"/>
      </w:pPr>
      <w:r>
        <w:rPr>
          <w:rFonts w:ascii="Times New Roman" w:hAnsi="Times New Roman" w:eastAsia="Times New Roman"/>
          <w:b/>
          <w:i w:val="0"/>
          <w:sz w:val="24"/>
        </w:rPr>
        <w:t>Uncertainty ladder</w:t>
      </w:r>
    </w:p>
    <w:p>
      <w:pPr>
        <w:keepNext/>
        <w:keepLines/>
        <w:spacing w:after="120" w:before="0" w:line="240" w:lineRule="auto"/>
        <w:ind w:firstLine="0"/>
        <w:jc w:val="left"/>
      </w:pPr>
      <w:r>
        <w:rPr>
          <w:rFonts w:ascii="Times New Roman" w:hAnsi="Times New Roman" w:eastAsia="Times New Roman"/>
          <w:b w:val="0"/>
          <w:i/>
          <w:sz w:val="22"/>
        </w:rPr>
        <w:t>Table 5. Uncertainty ladder for CHD hot nights and HF cold days on the full 132-month window.</w:t>
      </w:r>
    </w:p>
    <w:tbl>
      <w:tblPr>
        <w:tblStyle w:val="TableGrid"/>
        <w:tblLayout w:type="fixed"/>
        <w:tblLook w:firstColumn="1" w:firstRow="1" w:lastColumn="0" w:lastRow="0" w:noHBand="0" w:noVBand="1" w:val="04A0"/>
        <w:tblW w:w="5000" w:type="pct"/>
        <w:tblLayout w:type="fixed"/>
      </w:tblPr>
      <w:tblGrid>
        <w:gridCol w:w="1756"/>
        <w:gridCol w:w="1756"/>
        <w:gridCol w:w="1756"/>
        <w:gridCol w:w="1756"/>
        <w:gridCol w:w="1756"/>
      </w:tblGrid>
      <w:tr>
        <w:trPr>
          <w:cantSplit/>
          <w:tblHeader/>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(1.023–1.125)</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(1.011–1.138)</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(1.007–1.143)</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For CHD hot nights, the model-based and HC1 intervals included 1, while both Newey–West intervals excluded 1 on the unrounded scale (lag 3: 1.000253 to 1.043860). The lag-6 interval is narrower than the model-based interval while Pearson residual autocorrelation at lag 1 is 0.508. Positive serial correlation should inflate a HAC variance; a narrower Newey–West interval here is a finite-sample HAC warning, not a more precise discovery. On the nested 84-month refit the same CHD hot-night lag-1 autocorrelation was 0.171, and the HF cold-day autocorrelation was −0.046 against 0.146 on the full window. For HF cold days, all four constructions excluded 1 at the Model 1 baseline, and </w:t>
      </w:r>
      <w:r>
        <w:rPr>
          <w:rFonts w:ascii="Times New Roman" w:hAnsi="Times New Roman" w:eastAsia="Times New Roman"/>
          <w:b w:val="0"/>
          <w:i/>
          <w:sz w:val="24"/>
        </w:rPr>
        <w:t>q</w:t>
      </w:r>
      <w:r>
        <w:rPr>
          <w:rFonts w:ascii="Times New Roman" w:hAnsi="Times New Roman" w:eastAsia="Times New Roman"/>
          <w:b w:val="0"/>
          <w:i w:val="0"/>
          <w:sz w:val="24"/>
        </w:rPr>
        <w:t xml:space="preserve"> remained 0.192. Concordance across standard-error methods does not create multiplicity protection. No interval was chosen because it excluded 1.</w:t>
      </w:r>
    </w:p>
    <w:p>
      <w:pPr>
        <w:keepNext w:val="0"/>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(lag 6 only). Serial dependence is part of the inferential problem for CHD. That is why the four-construction ladder is shown rather than a single interval.</w:t>
      </w:r>
    </w:p>
    <w:p>
      <w:pPr>
        <w:keepNext/>
        <w:keepLines/>
        <w:spacing w:after="120" w:before="240" w:line="240" w:lineRule="auto"/>
        <w:ind w:firstLine="0"/>
        <w:jc w:val="left"/>
      </w:pPr>
      <w:r>
        <w:rPr>
          <w:rFonts w:ascii="Times New Roman" w:hAnsi="Times New Roman" w:eastAsia="Times New Roman"/>
          <w:b/>
          <w:i w:val="0"/>
          <w:sz w:val="28"/>
        </w:rPr>
        <w:t>Discussion</w:t>
      </w:r>
    </w:p>
    <w:p>
      <w:pPr>
        <w:keepNext w:val="0"/>
        <w:spacing w:after="160" w:before="0" w:line="240" w:lineRule="auto"/>
        <w:ind w:firstLine="720"/>
        <w:jc w:val="both"/>
      </w:pPr>
      <w:r>
        <w:rPr>
          <w:rFonts w:ascii="Times New Roman" w:hAnsi="Times New Roman" w:eastAsia="Times New Roman"/>
          <w:b w:val="0"/>
          <w:i w:val="0"/>
          <w:sz w:val="24"/>
        </w:rPr>
        <w:t xml:space="preserve">The extract shows window dependence, not a protected thermal discovery. First-event counts fell while the general population aged 35 years or older rose. Official-day count-ratio point estimates moved with the window, in opposite directions for cold days and for CHD hot nights. All twelve full-window Model 1 </w:t>
      </w:r>
      <w:r>
        <w:rPr>
          <w:rFonts w:ascii="Times New Roman" w:hAnsi="Times New Roman" w:eastAsia="Times New Roman"/>
          <w:b w:val="0"/>
          <w:i/>
          <w:sz w:val="24"/>
        </w:rPr>
        <w:t>q</w:t>
      </w:r>
      <w:r>
        <w:rPr>
          <w:rFonts w:ascii="Times New Roman" w:hAnsi="Times New Roman" w:eastAsia="Times New Roman"/>
          <w:b w:val="0"/>
          <w:i w:val="0"/>
          <w:sz w:val="24"/>
        </w:rPr>
        <w:t>-values exceeded 0.19. Neither exploratory contrast is a confirmatory primary.</w:t>
      </w:r>
    </w:p>
    <w:p>
      <w:pPr>
        <w:keepNext w:val="0"/>
        <w:spacing w:after="160" w:before="0" w:line="240" w:lineRule="auto"/>
        <w:ind w:firstLine="720"/>
        <w:jc w:val="both"/>
      </w:pPr>
      <w:r>
        <w:rPr>
          <w:rFonts w:ascii="Times New Roman" w:hAnsi="Times New Roman" w:eastAsia="Times New Roman"/>
          <w:b w:val="0"/>
          <w:i w:val="0"/>
          <w:sz w:val="24"/>
        </w:rPr>
        <w:t>Three labelled rivals can produce that pattern. They are not mixed into one mechanism paragraph.</w:t>
      </w:r>
    </w:p>
    <w:p>
      <w:pPr>
        <w:keepNext w:val="0"/>
        <w:spacing w:after="160" w:before="0" w:line="240" w:lineRule="auto"/>
        <w:ind w:firstLine="0"/>
        <w:jc w:val="both"/>
      </w:pPr>
      <w:r>
        <w:rPr>
          <w:rFonts w:ascii="Times New Roman" w:hAnsi="Times New Roman" w:eastAsia="Times New Roman"/>
          <w:b/>
          <w:i w:val="0"/>
          <w:sz w:val="24"/>
        </w:rPr>
        <w:t>Utilisation.</w:t>
      </w:r>
      <w:r>
        <w:rPr>
          <w:rFonts w:ascii="Times New Roman" w:hAnsi="Times New Roman" w:eastAsia="Times New Roman"/>
          <w:b w:val="0"/>
          <w:i w:val="0"/>
          <w:sz w:val="24"/>
        </w:rPr>
        <w:t xml:space="preserve"> Neighbouring Hong Kong studies from 2020 do not share this first-event construction, and their counts are not imported into the tables. Xin et al. reported fewer public hospitalisations in 2020, including cardiovascular admissions, together with additional deaths, particularly cardiovascular deaths and deaths outside public hospitals [1]. Those out-of-hospital deaths can remove a first hospitalisation from this series without implying fewer cardiac events. Wai et al. found fewer emergency-department visits and higher 28-day mortality among attenders [2,3]; attender fatality does not change this monthly count. Hung et al. documented self-reported avoidance of consultation in a public survey [4]. Tam et al. reported longer delays to ST-elevation myocardial infarction care in a Hong Kong service in early 2020 [5,6]; this extract has no ACS marker. Those papers can speak to the 2020 trough. They end in 2020. They do not cover February 2022, the HF cold-day influence month, and they do not explain the 2013–2019 decline. Non-presentation and death before arrival can reduce the monthly count; delay can move a count across months; attender-selection and survey avoidance do not identify Table 1. They do not license reading the count drop as recovered health.</w:t>
      </w:r>
    </w:p>
    <w:p>
      <w:pPr>
        <w:keepNext w:val="0"/>
        <w:spacing w:after="160" w:before="0" w:line="240" w:lineRule="auto"/>
        <w:ind w:firstLine="0"/>
        <w:jc w:val="both"/>
      </w:pPr>
      <w:r>
        <w:rPr>
          <w:rFonts w:ascii="Times New Roman" w:hAnsi="Times New Roman" w:eastAsia="Times New Roman"/>
          <w:b/>
          <w:i w:val="0"/>
          <w:sz w:val="24"/>
        </w:rPr>
        <w:t>Depletion.</w:t>
      </w:r>
      <w:r>
        <w:rPr>
          <w:rFonts w:ascii="Times New Roman" w:hAnsi="Times New Roman" w:eastAsia="Times New Roman"/>
          <w:b w:val="0"/>
          <w:i w:val="0"/>
          <w:sz w:val="24"/>
        </w:rPr>
        <w:t xml:space="preserve"> The event is an absorbing first hospitalisation after a first CHD or HF diagnosis among people diagnosed with type 2 diabetes and/or hypertension during 2013–2023. New diagnoses still enter through 2023. Whether “first” is first in the 2013–2023 window (no washout) or incident after look-back is unspecified in the monthly transfer. The 2013 totals are the highest annual counts (CHD 23,830; HF 4,336), the pattern a left-censored first-in-window dump produces. 2020 lies below 2023 (CHD 10,237 vs 12,323; HF 1,964 vs 2,296), which a depletion-only closed cohort after 2013 does not predict. Absent monthly still-at-risk person-time, Figure 1 does not quantify the share due to depletion [14]. It is not incidence in the territory. It is not a measure of physiological improvement.</w:t>
      </w:r>
    </w:p>
    <w:p>
      <w:pPr>
        <w:keepNext w:val="0"/>
        <w:spacing w:after="160" w:before="0" w:line="240" w:lineRule="auto"/>
        <w:ind w:firstLine="0"/>
        <w:jc w:val="both"/>
      </w:pPr>
      <w:r>
        <w:rPr>
          <w:rFonts w:ascii="Times New Roman" w:hAnsi="Times New Roman" w:eastAsia="Times New Roman"/>
          <w:b/>
          <w:i w:val="0"/>
          <w:sz w:val="24"/>
        </w:rPr>
        <w:t>Weather-entanglement.</w:t>
      </w:r>
      <w:r>
        <w:rPr>
          <w:rFonts w:ascii="Times New Roman" w:hAnsi="Times New Roman" w:eastAsia="Times New Roman"/>
          <w:b w:val="0"/>
          <w:i w:val="0"/>
          <w:sz w:val="24"/>
        </w:rPr>
        <w:t xml:space="preserve"> Official hot nights were more frequent in the same years in which care-seeking changed (2.7 per month in 2013–2019; 4.5 per month in 2020–2022). The CHD hot-night residual needs those later years. The same 4-df spline that absorbs the first-event decline also absorbs the hot-night trend. That is an identification problem, not evidence that hot nights caused the count drop. Official cold days remain a winter-to-winter contrast (141 of 145 days in December–February; 29 of 132 months carry any). Nested containment means that a constant thermal coefficient need not be invariant once utilisation or depletion after 2019 is present, so stability of the ratios is a weak falsifier. Official-day point estimates moved with the window, in opposite directions for cold days and for CHD hot nights, and nested-window mean temperature is not the same contrast as official day counts. Official day counts remain part of the exposure record. Continuous mean temperature in the nested window is inverse for both outcomes and is not a substitute for the official-day encoding (Table 3).</w:t>
      </w:r>
    </w:p>
    <w:p>
      <w:pPr>
        <w:keepNext w:val="0"/>
        <w:spacing w:after="160" w:before="0" w:line="240" w:lineRule="auto"/>
        <w:ind w:firstLine="720"/>
        <w:jc w:val="both"/>
      </w:pPr>
      <w:r>
        <w:rPr>
          <w:rFonts w:ascii="Times New Roman" w:hAnsi="Times New Roman" w:eastAsia="Times New Roman"/>
          <w:b w:val="0"/>
          <w:i w:val="0"/>
          <w:sz w:val="24"/>
        </w:rPr>
        <w:t>Daily cardiac-admission studies do not rescue a monthly first-event claim. Goggins and Chan's cumulative relative risk of 2.63 (2.43–2.84) comparing 11 °C with 25 °C is not a monthly count ratio per five official cold days, and it is not imported into Table 2 or Table 4 [8]. Guo et al. reported no overall association for the official hot-night flag after adjustment for mean temperature, so a difference between monthly means and monthly official counts does not identify an intensity mechanism [9]. Jingwen Liu et al. estimated daily mortality attributable fractions in Hong Kong [22]. Zhenyuan Liu et al. modelled heatwave excess deaths under transported local relative risks [23]. Those attributable fractions and excess-death totals cannot be rescaled into the present count ratios. Physiological accounts of overnight recovery and cold-related afterload, and any mapping onto heat–health action-plan elements, are not identified by 132 monthly counts.</w:t>
      </w:r>
    </w:p>
    <w:p>
      <w:pPr>
        <w:keepNext/>
        <w:keepLines/>
        <w:spacing w:after="120" w:before="240" w:line="240" w:lineRule="auto"/>
        <w:ind w:firstLine="0"/>
        <w:jc w:val="left"/>
      </w:pPr>
      <w:r>
        <w:rPr>
          <w:rFonts w:ascii="Times New Roman" w:hAnsi="Times New Roman" w:eastAsia="Times New Roman"/>
          <w:b/>
          <w:i w:val="0"/>
          <w:sz w:val="28"/>
        </w:rPr>
        <w:t>Strengths and limitations</w:t>
      </w:r>
    </w:p>
    <w:p>
      <w:pPr>
        <w:keepNext w:val="0"/>
        <w:spacing w:after="160" w:before="0" w:line="240" w:lineRule="auto"/>
        <w:ind w:firstLine="0"/>
        <w:jc w:val="both"/>
      </w:pPr>
      <w:r>
        <w:rPr>
          <w:rFonts w:ascii="Times New Roman" w:hAnsi="Times New Roman" w:eastAsia="Times New Roman"/>
          <w:b/>
          <w:i w:val="0"/>
          <w:sz w:val="24"/>
        </w:rPr>
        <w:t>Strengths.</w:t>
      </w:r>
      <w:r>
        <w:rPr>
          <w:rFonts w:ascii="Times New Roman" w:hAnsi="Times New Roman" w:eastAsia="Times New Roman"/>
          <w:b w:val="0"/>
          <w:i w:val="0"/>
          <w:sz w:val="24"/>
        </w:rPr>
        <w:t xml:space="preserve"> The analysis window is treated as part of the estimand rather than as a nuisance to be averaged through. Official-day ratios are shown for both the full window and the nested 84-month specification. Mean temperature is placed beside those ratios in the same windows (Table 3). All twelve full-window Model 1 fits are reported. Uncertainty is shown as a four-construction ladder. Figure 1 displays the first-event count path. Figure 2 is the ruling-out exhibit for official-day encodings on those two windows.</w:t>
      </w:r>
    </w:p>
    <w:p>
      <w:pPr>
        <w:keepNext w:val="0"/>
        <w:spacing w:after="160" w:before="0" w:line="240" w:lineRule="auto"/>
        <w:ind w:firstLine="0"/>
        <w:jc w:val="both"/>
      </w:pPr>
      <w:r>
        <w:rPr>
          <w:rFonts w:ascii="Times New Roman" w:hAnsi="Times New Roman" w:eastAsia="Times New Roman"/>
          <w:b/>
          <w:i w:val="0"/>
          <w:sz w:val="24"/>
        </w:rPr>
        <w:t>Limitations.</w:t>
      </w:r>
      <w:r>
        <w:rPr>
          <w:rFonts w:ascii="Times New Roman" w:hAnsi="Times New Roman" w:eastAsia="Times New Roman"/>
          <w:b w:val="0"/>
          <w:i w:val="0"/>
          <w:sz w:val="24"/>
        </w:rPr>
        <w:t xml:space="preserve"> Admission cause was not recorded, so an event is a first hospitalisation after a first diagnosis and not a cardiac-caused admission. Monthly counts of people still at risk of a first event were unavailable, so the estimates are count ratios rather than incidence-rate ratios [14]. Laboratory measurements were not in the monthly transfer.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The CHD hot-night estimate is compatible with 1 in the nested window. There is no post-only 48-month Model 1 table. Official hot-night counts are not hourly nighttime excess heat [9]. All exposures were measured at a single Observatory station and applied territory-wide. Influenza covers 121 of 132 months and is a sensitivity, not Model 1; omitting it from Model 1 is a limitation of a window paper as well as of a thermal fit. A labelled synthetic count process, not this Hospital Authority panel, shows that a full-window coefficient can look attenuated when utilisation or an influenza-like term collapses after month 84 while the true coefficient is held constant. Pollution declined across the decade [13]. That co-trend is slow rather than a 2020-only switch, so confounding by infection or ozone is unresolved in Model 1. A corresponding stroke series was not available. Influence months include February 2020 for CHD and February 2022 for HF cold days. Physiological mechanisms are not identified from the 132 months.</w:t>
      </w:r>
    </w:p>
    <w:p>
      <w:pPr>
        <w:keepNext/>
        <w:keepLines/>
        <w:spacing w:after="120" w:before="240" w:line="240" w:lineRule="auto"/>
        <w:ind w:firstLine="0"/>
        <w:jc w:val="left"/>
      </w:pPr>
      <w:r>
        <w:rPr>
          <w:rFonts w:ascii="Times New Roman" w:hAnsi="Times New Roman" w:eastAsia="Times New Roman"/>
          <w:b/>
          <w:i w:val="0"/>
          <w:sz w:val="28"/>
        </w:rPr>
        <w:t>Conclusion</w:t>
      </w:r>
    </w:p>
    <w:p>
      <w:pPr>
        <w:keepNext w:val="0"/>
        <w:spacing w:after="160" w:before="0" w:line="240" w:lineRule="auto"/>
        <w:ind w:firstLine="720"/>
        <w:jc w:val="both"/>
      </w:pPr>
      <w:r>
        <w:rPr>
          <w:rFonts w:ascii="Times New Roman" w:hAnsi="Times New Roman" w:eastAsia="Times New Roman"/>
          <w:b w:val="0"/>
          <w:i w:val="0"/>
          <w:sz w:val="24"/>
        </w:rPr>
        <w:t>Monthly first CHD and HF hospitalisation counts among people with type 2 diabetes and/or hypertension in Hong Kong, January 2013–December 2023 (132 months), depend on the analysis window. The same negative-binomial model—calendar-month factors, a 4-df time spline, and a days-in-month offset—is refit on the nested pre-2020 84 months inside the full 132. That nested specification is an overlapping-sample refit with the spline re-knotted. It is not a COVID health effect, not incidence, and not a pre/post treatment effect. Official hot nights, very hot days, and cold days, reported per five additional such days in a month, are a ruling-out exhibit for that dependence, not a second thermal-cardiovascular primary. Official-day point estimates moved with the window, in opposite directions for cold days and for CHD hot nights. Nested containment means that a constant thermal coefficient need not be invariant once utilisation or depletion after 2019 is present, so stability of the ratios is a weak falsifier. Nested-window mean temperature is not the same contrast as official day counts, and the 4-df spline absorbs both the count path and the hot-night trend. Official day counts remain part of the exposure record. The data do not show that health recovered after 2020, and they do not support a multiplicity-protected differential thermal claim. What the file supports is a window-dependent count ratio for a first hospitalisation after a first diagnosis, without admission cause and without person-time.</w:t>
      </w:r>
    </w:p>
    <w:p>
      <w:pPr>
        <w:keepNext/>
        <w:keepLines/>
        <w:spacing w:after="120" w:before="240" w:line="240" w:lineRule="auto"/>
        <w:ind w:firstLine="0"/>
        <w:jc w:val="left"/>
      </w:pPr>
      <w:r>
        <w:rPr>
          <w:rFonts w:ascii="Times New Roman" w:hAnsi="Times New Roman" w:eastAsia="Times New Roman"/>
          <w:b/>
          <w:i w:val="0"/>
          <w:sz w:val="28"/>
        </w:rPr>
        <w:t>Declaration on the use of AI</w:t>
      </w:r>
    </w:p>
    <w:p>
      <w:pPr>
        <w:keepNext w:val="0"/>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keepNext/>
        <w:keepLines/>
        <w:spacing w:after="120" w:before="240" w:line="240" w:lineRule="auto"/>
        <w:ind w:firstLine="0"/>
        <w:jc w:val="left"/>
      </w:pPr>
      <w:r>
        <w:rPr>
          <w:rFonts w:ascii="Times New Roman" w:hAnsi="Times New Roman" w:eastAsia="Times New Roman"/>
          <w:b/>
          <w:i w:val="0"/>
          <w:sz w:val="28"/>
        </w:rPr>
        <w:t>Declaration of competing interest</w:t>
      </w:r>
    </w:p>
    <w:p>
      <w:pPr>
        <w:keepNext w:val="0"/>
        <w:spacing w:after="160" w:before="0" w:line="240" w:lineRule="auto"/>
        <w:ind w:firstLine="720"/>
        <w:jc w:val="both"/>
      </w:pPr>
      <w:r>
        <w:rPr>
          <w:rFonts w:ascii="Times New Roman" w:hAnsi="Times New Roman" w:eastAsia="Times New Roman"/>
          <w:b w:val="0"/>
          <w:i w:val="0"/>
          <w:sz w:val="24"/>
        </w:rPr>
        <w:t>The authors declare no competing interests.</w:t>
      </w:r>
    </w:p>
    <w:p>
      <w:pPr>
        <w:keepNext/>
        <w:keepLines/>
        <w:spacing w:after="120" w:before="240" w:line="240" w:lineRule="auto"/>
        <w:ind w:firstLine="0"/>
        <w:jc w:val="left"/>
      </w:pPr>
      <w:r>
        <w:rPr>
          <w:rFonts w:ascii="Times New Roman" w:hAnsi="Times New Roman" w:eastAsia="Times New Roman"/>
          <w:b/>
          <w:i w:val="0"/>
          <w:sz w:val="28"/>
        </w:rPr>
        <w:t>Acknowledgements</w:t>
      </w:r>
    </w:p>
    <w:p>
      <w:pPr>
        <w:keepNext w:val="0"/>
        <w:spacing w:after="160" w:before="0" w:line="240" w:lineRule="auto"/>
        <w:ind w:firstLine="720"/>
        <w:jc w:val="both"/>
      </w:pPr>
      <w:r>
        <w:rPr>
          <w:rFonts w:ascii="Times New Roman" w:hAnsi="Times New Roman" w:eastAsia="Times New Roman"/>
          <w:b w:val="0"/>
          <w:i w:val="0"/>
          <w:sz w:val="24"/>
        </w:rPr>
        <w:t>None.</w:t>
      </w:r>
    </w:p>
    <w:p>
      <w:pPr>
        <w:keepNext/>
        <w:keepLines/>
        <w:spacing w:after="120" w:before="240" w:line="240" w:lineRule="auto"/>
        <w:ind w:firstLine="0"/>
        <w:jc w:val="left"/>
      </w:pPr>
      <w:r>
        <w:rPr>
          <w:rFonts w:ascii="Times New Roman" w:hAnsi="Times New Roman" w:eastAsia="Times New Roman"/>
          <w:b/>
          <w:i w:val="0"/>
          <w:sz w:val="28"/>
        </w:rPr>
        <w:t>Data and code availability</w:t>
      </w:r>
    </w:p>
    <w:p>
      <w:pPr>
        <w:keepNext w:val="0"/>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keepNext/>
        <w:keepLines/>
        <w:spacing w:after="120" w:before="240" w:line="240" w:lineRule="auto"/>
        <w:ind w:firstLine="0"/>
        <w:jc w:val="left"/>
      </w:pPr>
      <w:r>
        <w:rPr>
          <w:rFonts w:ascii="Times New Roman" w:hAnsi="Times New Roman" w:eastAsia="Times New Roman"/>
          <w:b/>
          <w:i w:val="0"/>
          <w:sz w:val="28"/>
        </w:rPr>
        <w:t>References</w:t>
      </w:r>
    </w:p>
    <w:p>
      <w:pPr>
        <w:keepNext w:val="0"/>
        <w:keepLines/>
        <w:spacing w:after="40" w:before="0" w:line="240" w:lineRule="auto"/>
        <w:ind w:left="425" w:hanging="425"/>
        <w:jc w:val="left"/>
      </w:pPr>
      <w:r>
        <w:rPr>
          <w:rFonts w:ascii="Times New Roman" w:hAnsi="Times New Roman" w:eastAsia="Times New Roman"/>
          <w:b w:val="0"/>
          <w:i w:val="0"/>
          <w:sz w:val="22"/>
        </w:rPr>
        <w:t xml:space="preserve">1. Xin H, Wu P, Wong JY, et al. Hospitalizations and mortality during the first year of the COVID-19 pandemic in Hong Kong, China: a retrospective observational study. </w:t>
      </w:r>
      <w:r>
        <w:rPr>
          <w:rFonts w:ascii="Times New Roman" w:hAnsi="Times New Roman" w:eastAsia="Times New Roman"/>
          <w:b w:val="0"/>
          <w:i/>
          <w:sz w:val="22"/>
        </w:rPr>
        <w:t>Lancet Reg Health West Pac</w:t>
      </w:r>
      <w:r>
        <w:rPr>
          <w:rFonts w:ascii="Times New Roman" w:hAnsi="Times New Roman" w:eastAsia="Times New Roman"/>
          <w:b w:val="0"/>
          <w:i w:val="0"/>
          <w:sz w:val="22"/>
        </w:rPr>
        <w:t>. 2022;21:100645. doi:10.1016/j.lanwpc.2022.100645</w:t>
      </w:r>
    </w:p>
    <w:p>
      <w:pPr>
        <w:keepNext w:val="0"/>
        <w:keepLines/>
        <w:spacing w:after="40" w:before="0" w:line="240" w:lineRule="auto"/>
        <w:ind w:left="425" w:hanging="425"/>
        <w:jc w:val="left"/>
      </w:pPr>
      <w:r>
        <w:rPr>
          <w:rFonts w:ascii="Times New Roman" w:hAnsi="Times New Roman" w:eastAsia="Times New Roman"/>
          <w:b w:val="0"/>
          <w:i w:val="0"/>
          <w:sz w:val="22"/>
        </w:rPr>
        <w:t xml:space="preserve">2. Wai AKC, Wong CKH, Wong JYH, et al. Changes in emergency department visits, diagnostic groups, and 28-day mortality associated with the COVID-19 pandemic. </w:t>
      </w:r>
      <w:r>
        <w:rPr>
          <w:rFonts w:ascii="Times New Roman" w:hAnsi="Times New Roman" w:eastAsia="Times New Roman"/>
          <w:b w:val="0"/>
          <w:i/>
          <w:sz w:val="22"/>
        </w:rPr>
        <w:t>Ann Emerg Med</w:t>
      </w:r>
      <w:r>
        <w:rPr>
          <w:rFonts w:ascii="Times New Roman" w:hAnsi="Times New Roman" w:eastAsia="Times New Roman"/>
          <w:b w:val="0"/>
          <w:i w:val="0"/>
          <w:sz w:val="22"/>
        </w:rPr>
        <w:t>. 2022;79(2):148-157. doi:10.1016/j.annemergmed.2021.09.424</w:t>
      </w:r>
    </w:p>
    <w:p>
      <w:pPr>
        <w:keepNext w:val="0"/>
        <w:keepLines/>
        <w:spacing w:after="40" w:before="0" w:line="240" w:lineRule="auto"/>
        <w:ind w:left="425" w:hanging="425"/>
        <w:jc w:val="left"/>
      </w:pPr>
      <w:r>
        <w:rPr>
          <w:rFonts w:ascii="Times New Roman" w:hAnsi="Times New Roman" w:eastAsia="Times New Roman"/>
          <w:b w:val="0"/>
          <w:i w:val="0"/>
          <w:sz w:val="22"/>
        </w:rPr>
        <w:t xml:space="preserve">3. Wai AKC, Yip TF, Wong YH, et al. The effect of the COVID-19 pandemic on non–COVID-19 deaths: a cohort study. </w:t>
      </w:r>
      <w:r>
        <w:rPr>
          <w:rFonts w:ascii="Times New Roman" w:hAnsi="Times New Roman" w:eastAsia="Times New Roman"/>
          <w:b w:val="0"/>
          <w:i/>
          <w:sz w:val="22"/>
        </w:rPr>
        <w:t>JMIR Public Health Surveill</w:t>
      </w:r>
      <w:r>
        <w:rPr>
          <w:rFonts w:ascii="Times New Roman" w:hAnsi="Times New Roman" w:eastAsia="Times New Roman"/>
          <w:b w:val="0"/>
          <w:i w:val="0"/>
          <w:sz w:val="22"/>
        </w:rPr>
        <w:t>. 2024;10:e41792. doi:10.2196/41792</w:t>
      </w:r>
    </w:p>
    <w:p>
      <w:pPr>
        <w:keepNext w:val="0"/>
        <w:keepLines/>
        <w:spacing w:after="40" w:before="0" w:line="240" w:lineRule="auto"/>
        <w:ind w:left="425" w:hanging="425"/>
        <w:jc w:val="left"/>
      </w:pPr>
      <w:r>
        <w:rPr>
          <w:rFonts w:ascii="Times New Roman" w:hAnsi="Times New Roman" w:eastAsia="Times New Roman"/>
          <w:b w:val="0"/>
          <w:i w:val="0"/>
          <w:sz w:val="22"/>
        </w:rPr>
        <w:t xml:space="preserve">4. Hung KK, Walline JH, Chan EYY, et al. Health service utilization in Hong Kong during the COVID-19 pandemic: a cross-sectional public survey. </w:t>
      </w:r>
      <w:r>
        <w:rPr>
          <w:rFonts w:ascii="Times New Roman" w:hAnsi="Times New Roman" w:eastAsia="Times New Roman"/>
          <w:b w:val="0"/>
          <w:i/>
          <w:sz w:val="22"/>
        </w:rPr>
        <w:t>Int J Health Policy Manag</w:t>
      </w:r>
      <w:r>
        <w:rPr>
          <w:rFonts w:ascii="Times New Roman" w:hAnsi="Times New Roman" w:eastAsia="Times New Roman"/>
          <w:b w:val="0"/>
          <w:i w:val="0"/>
          <w:sz w:val="22"/>
        </w:rPr>
        <w:t>. 2022;11(4):508-513. doi:10.34172/ijhpm.2020.183</w:t>
      </w:r>
    </w:p>
    <w:p>
      <w:pPr>
        <w:keepNext w:val="0"/>
        <w:keepLines/>
        <w:spacing w:after="40" w:before="0" w:line="240" w:lineRule="auto"/>
        <w:ind w:left="425" w:hanging="425"/>
        <w:jc w:val="left"/>
      </w:pPr>
      <w:r>
        <w:rPr>
          <w:rFonts w:ascii="Times New Roman" w:hAnsi="Times New Roman" w:eastAsia="Times New Roman"/>
          <w:b w:val="0"/>
          <w:i w:val="0"/>
          <w:sz w:val="22"/>
        </w:rPr>
        <w:t xml:space="preserve">5. Tam CCF, Cheung KS, Lam S, et al. Impact of coronavirus disease 2019 (COVID-19) outbreak on ST-segment–elevation myocardial infarction care in Hong Kong, China. </w:t>
      </w:r>
      <w:r>
        <w:rPr>
          <w:rFonts w:ascii="Times New Roman" w:hAnsi="Times New Roman" w:eastAsia="Times New Roman"/>
          <w:b w:val="0"/>
          <w:i/>
          <w:sz w:val="22"/>
        </w:rPr>
        <w:t>Circ Cardiovasc Qual Outcomes</w:t>
      </w:r>
      <w:r>
        <w:rPr>
          <w:rFonts w:ascii="Times New Roman" w:hAnsi="Times New Roman" w:eastAsia="Times New Roman"/>
          <w:b w:val="0"/>
          <w:i w:val="0"/>
          <w:sz w:val="22"/>
        </w:rPr>
        <w:t>. 2020;13(4):e006631. doi:10.1161/CIRCOUTCOMES.120.006631</w:t>
      </w:r>
    </w:p>
    <w:p>
      <w:pPr>
        <w:keepNext w:val="0"/>
        <w:keepLines/>
        <w:spacing w:after="40" w:before="0" w:line="240" w:lineRule="auto"/>
        <w:ind w:left="425" w:hanging="425"/>
        <w:jc w:val="left"/>
      </w:pPr>
      <w:r>
        <w:rPr>
          <w:rFonts w:ascii="Times New Roman" w:hAnsi="Times New Roman" w:eastAsia="Times New Roman"/>
          <w:b w:val="0"/>
          <w:i w:val="0"/>
          <w:sz w:val="22"/>
        </w:rPr>
        <w:t xml:space="preserve">6. Tam CCF, Cheung KS, Lam S, et al. Impact of coronavirus disease 2019 (COVID-19) outbreak on outcome of myocardial infarction in Hong Kong, China. </w:t>
      </w:r>
      <w:r>
        <w:rPr>
          <w:rFonts w:ascii="Times New Roman" w:hAnsi="Times New Roman" w:eastAsia="Times New Roman"/>
          <w:b w:val="0"/>
          <w:i/>
          <w:sz w:val="22"/>
        </w:rPr>
        <w:t>Catheter Cardiovasc Interv</w:t>
      </w:r>
      <w:r>
        <w:rPr>
          <w:rFonts w:ascii="Times New Roman" w:hAnsi="Times New Roman" w:eastAsia="Times New Roman"/>
          <w:b w:val="0"/>
          <w:i w:val="0"/>
          <w:sz w:val="22"/>
        </w:rPr>
        <w:t>. 2021;97(2):E194-E197. doi:10.1002/ccd.28943</w:t>
      </w:r>
    </w:p>
    <w:p>
      <w:pPr>
        <w:keepNext w:val="0"/>
        <w:keepLines/>
        <w:spacing w:after="40" w:before="0" w:line="240" w:lineRule="auto"/>
        <w:ind w:left="425" w:hanging="425"/>
        <w:jc w:val="left"/>
      </w:pPr>
      <w:r>
        <w:rPr>
          <w:rFonts w:ascii="Times New Roman" w:hAnsi="Times New Roman" w:eastAsia="Times New Roman"/>
          <w:b w:val="0"/>
          <w:i w:val="0"/>
          <w:sz w:val="22"/>
        </w:rPr>
        <w:t xml:space="preserve">7. Goggins WB, Chan EYY, Yang CY. Weather, pollution, and acute myocardial infarction in Hong Kong and Taiwan. </w:t>
      </w:r>
      <w:r>
        <w:rPr>
          <w:rFonts w:ascii="Times New Roman" w:hAnsi="Times New Roman" w:eastAsia="Times New Roman"/>
          <w:b w:val="0"/>
          <w:i/>
          <w:sz w:val="22"/>
        </w:rPr>
        <w:t>Int J Cardiol</w:t>
      </w:r>
      <w:r>
        <w:rPr>
          <w:rFonts w:ascii="Times New Roman" w:hAnsi="Times New Roman" w:eastAsia="Times New Roman"/>
          <w:b w:val="0"/>
          <w:i w:val="0"/>
          <w:sz w:val="22"/>
        </w:rPr>
        <w:t>. 2013;168(1):243-249. doi:10.1016/j.ijcard.2012.09.087</w:t>
      </w:r>
    </w:p>
    <w:p>
      <w:pPr>
        <w:keepNext w:val="0"/>
        <w:keepLines/>
        <w:spacing w:after="40" w:before="0" w:line="240" w:lineRule="auto"/>
        <w:ind w:left="425" w:hanging="425"/>
        <w:jc w:val="left"/>
      </w:pPr>
      <w:r>
        <w:rPr>
          <w:rFonts w:ascii="Times New Roman" w:hAnsi="Times New Roman" w:eastAsia="Times New Roman"/>
          <w:b w:val="0"/>
          <w:i w:val="0"/>
          <w:sz w:val="22"/>
        </w:rPr>
        <w:t xml:space="preserve">8. Goggins WB, Chan EYY. A study of the short-term associations between hospital admissions and mortality from heart failure and meteorological variables in Hong Kong. </w:t>
      </w:r>
      <w:r>
        <w:rPr>
          <w:rFonts w:ascii="Times New Roman" w:hAnsi="Times New Roman" w:eastAsia="Times New Roman"/>
          <w:b w:val="0"/>
          <w:i/>
          <w:sz w:val="22"/>
        </w:rPr>
        <w:t>Int J Cardiol</w:t>
      </w:r>
      <w:r>
        <w:rPr>
          <w:rFonts w:ascii="Times New Roman" w:hAnsi="Times New Roman" w:eastAsia="Times New Roman"/>
          <w:b w:val="0"/>
          <w:i w:val="0"/>
          <w:sz w:val="22"/>
        </w:rPr>
        <w:t>. 2017;228:537-542. doi:10.1016/j.ijcard.2016.11.106</w:t>
      </w:r>
    </w:p>
    <w:p>
      <w:pPr>
        <w:keepNext w:val="0"/>
        <w:keepLines/>
        <w:spacing w:after="40" w:before="0" w:line="240" w:lineRule="auto"/>
        <w:ind w:left="425" w:hanging="425"/>
        <w:jc w:val="left"/>
      </w:pPr>
      <w:r>
        <w:rPr>
          <w:rFonts w:ascii="Times New Roman" w:hAnsi="Times New Roman" w:eastAsia="Times New Roman"/>
          <w:b w:val="0"/>
          <w:i w:val="0"/>
          <w:sz w:val="22"/>
        </w:rPr>
        <w:t xml:space="preserve">9. Guo YT, Chan KH, Qiu H, Wong ELY, Ho KF. The risk of hospitalization associated with hot nights and excess nighttime heat in a subtropical metropolis: a time-series study in Hong Kong, 2000–2019. </w:t>
      </w:r>
      <w:r>
        <w:rPr>
          <w:rFonts w:ascii="Times New Roman" w:hAnsi="Times New Roman" w:eastAsia="Times New Roman"/>
          <w:b w:val="0"/>
          <w:i/>
          <w:sz w:val="22"/>
        </w:rPr>
        <w:t>Lancet Reg Health West Pac</w:t>
      </w:r>
      <w:r>
        <w:rPr>
          <w:rFonts w:ascii="Times New Roman" w:hAnsi="Times New Roman" w:eastAsia="Times New Roman"/>
          <w:b w:val="0"/>
          <w:i w:val="0"/>
          <w:sz w:val="22"/>
        </w:rPr>
        <w:t>. 2024;51:101168. doi:10.1016/j.lanwpc.2024.101168</w:t>
      </w:r>
    </w:p>
    <w:p>
      <w:pPr>
        <w:keepNext w:val="0"/>
        <w:keepLines/>
        <w:spacing w:after="40" w:before="0" w:line="240" w:lineRule="auto"/>
        <w:ind w:left="425" w:hanging="425"/>
        <w:jc w:val="left"/>
      </w:pPr>
      <w:r>
        <w:rPr>
          <w:rFonts w:ascii="Times New Roman" w:hAnsi="Times New Roman" w:eastAsia="Times New Roman"/>
          <w:b w:val="0"/>
          <w:i w:val="0"/>
          <w:sz w:val="22"/>
        </w:rPr>
        <w:t>10. Hong Kong Observatory. The Year's Weather — 2013. https://www.hko.gov.hk/en/wxinfo/pastwx/ywx2013.htm</w:t>
      </w:r>
    </w:p>
    <w:p>
      <w:pPr>
        <w:keepNext w:val="0"/>
        <w:keepLines/>
        <w:spacing w:after="40" w:before="0" w:line="240" w:lineRule="auto"/>
        <w:ind w:left="425" w:hanging="425"/>
        <w:jc w:val="left"/>
      </w:pPr>
      <w:r>
        <w:rPr>
          <w:rFonts w:ascii="Times New Roman" w:hAnsi="Times New Roman" w:eastAsia="Times New Roman"/>
          <w:b w:val="0"/>
          <w:i w:val="0"/>
          <w:sz w:val="22"/>
        </w:rPr>
        <w:t>11. Hong Kong Observatory. The Year's Weather — 2021. https://www.hko.gov.hk/en/wxinfo/pastwx/2021/ywx2021.htm</w:t>
      </w:r>
    </w:p>
    <w:p>
      <w:pPr>
        <w:keepNext w:val="0"/>
        <w:keepLines/>
        <w:spacing w:after="40" w:before="0" w:line="240" w:lineRule="auto"/>
        <w:ind w:left="425" w:hanging="425"/>
        <w:jc w:val="left"/>
      </w:pPr>
      <w:r>
        <w:rPr>
          <w:rFonts w:ascii="Times New Roman" w:hAnsi="Times New Roman" w:eastAsia="Times New Roman"/>
          <w:b w:val="0"/>
          <w:i w:val="0"/>
          <w:sz w:val="22"/>
        </w:rPr>
        <w:t>12. Hong Kong Observatory. Hong Kong Observatory Open Data. https://www.hko.gov.hk/en/abouthko/opendata_intro.htm</w:t>
      </w:r>
    </w:p>
    <w:p>
      <w:pPr>
        <w:keepNext w:val="0"/>
        <w:keepLines/>
        <w:spacing w:after="40" w:before="0" w:line="240" w:lineRule="auto"/>
        <w:ind w:left="425" w:hanging="425"/>
        <w:jc w:val="left"/>
      </w:pPr>
      <w:r>
        <w:rPr>
          <w:rFonts w:ascii="Times New Roman" w:hAnsi="Times New Roman" w:eastAsia="Times New Roman"/>
          <w:b w:val="0"/>
          <w:i w:val="0"/>
          <w:sz w:val="22"/>
        </w:rPr>
        <w:t>13. Environmental Protection Department. Environmental Protection Interactive Centre: Air Quality Data. https://cd.epic.epd.gov.hk/EPICDI/air/station/?lang=en</w:t>
      </w:r>
    </w:p>
    <w:p>
      <w:pPr>
        <w:keepNext w:val="0"/>
        <w:keepLines/>
        <w:spacing w:after="40" w:before="0" w:line="240" w:lineRule="auto"/>
        <w:ind w:left="425" w:hanging="425"/>
        <w:jc w:val="left"/>
      </w:pPr>
      <w:r>
        <w:rPr>
          <w:rFonts w:ascii="Times New Roman" w:hAnsi="Times New Roman" w:eastAsia="Times New Roman"/>
          <w:b w:val="0"/>
          <w:i w:val="0"/>
          <w:sz w:val="22"/>
        </w:rPr>
        <w:t xml:space="preserve">14. Greenland S, Morgenstern H. Ecological bias, confounding, and effect modification. </w:t>
      </w:r>
      <w:r>
        <w:rPr>
          <w:rFonts w:ascii="Times New Roman" w:hAnsi="Times New Roman" w:eastAsia="Times New Roman"/>
          <w:b w:val="0"/>
          <w:i/>
          <w:sz w:val="22"/>
        </w:rPr>
        <w:t>Int J Epidemiol</w:t>
      </w:r>
      <w:r>
        <w:rPr>
          <w:rFonts w:ascii="Times New Roman" w:hAnsi="Times New Roman" w:eastAsia="Times New Roman"/>
          <w:b w:val="0"/>
          <w:i w:val="0"/>
          <w:sz w:val="22"/>
        </w:rPr>
        <w:t>. 1989;18(1):269-274. doi:10.1093/ije/18.1.269</w:t>
      </w:r>
    </w:p>
    <w:p>
      <w:pPr>
        <w:keepNext w:val="0"/>
        <w:keepLines/>
        <w:spacing w:after="40" w:before="0" w:line="240" w:lineRule="auto"/>
        <w:ind w:left="425" w:hanging="425"/>
        <w:jc w:val="left"/>
      </w:pPr>
      <w:r>
        <w:rPr>
          <w:rFonts w:ascii="Times New Roman" w:hAnsi="Times New Roman" w:eastAsia="Times New Roman"/>
          <w:b w:val="0"/>
          <w:i w:val="0"/>
          <w:sz w:val="22"/>
        </w:rPr>
        <w:t>15. Census and Statistics Department. Population by Sex and Age Group (Table 110-01001). https://data.gov.hk/en-data/dataset/hk-censtatd-tablechart-110-01001</w:t>
      </w:r>
    </w:p>
    <w:p>
      <w:pPr>
        <w:keepNext w:val="0"/>
        <w:keepLines/>
        <w:spacing w:after="40" w:before="0" w:line="240" w:lineRule="auto"/>
        <w:ind w:left="425" w:hanging="425"/>
        <w:jc w:val="left"/>
      </w:pPr>
      <w:r>
        <w:rPr>
          <w:rFonts w:ascii="Times New Roman" w:hAnsi="Times New Roman" w:eastAsia="Times New Roman"/>
          <w:b w:val="0"/>
          <w:i w:val="0"/>
          <w:sz w:val="22"/>
        </w:rPr>
        <w:t xml:space="preserve">16. Bhaskaran K, Gasparrini A, Hajat S, Smeeth L, Armstrong B. Time series regression studies in environmental epidemiology. </w:t>
      </w:r>
      <w:r>
        <w:rPr>
          <w:rFonts w:ascii="Times New Roman" w:hAnsi="Times New Roman" w:eastAsia="Times New Roman"/>
          <w:b w:val="0"/>
          <w:i/>
          <w:sz w:val="22"/>
        </w:rPr>
        <w:t>Int J Epidemiol</w:t>
      </w:r>
      <w:r>
        <w:rPr>
          <w:rFonts w:ascii="Times New Roman" w:hAnsi="Times New Roman" w:eastAsia="Times New Roman"/>
          <w:b w:val="0"/>
          <w:i w:val="0"/>
          <w:sz w:val="22"/>
        </w:rPr>
        <w:t>. 2013;42(4):1187-1195. doi:10.1093/ije/dyt092</w:t>
      </w:r>
    </w:p>
    <w:p>
      <w:pPr>
        <w:keepNext w:val="0"/>
        <w:keepLines/>
        <w:spacing w:after="40" w:before="0" w:line="240" w:lineRule="auto"/>
        <w:ind w:left="425" w:hanging="425"/>
        <w:jc w:val="left"/>
      </w:pPr>
      <w:r>
        <w:rPr>
          <w:rFonts w:ascii="Times New Roman" w:hAnsi="Times New Roman" w:eastAsia="Times New Roman"/>
          <w:b w:val="0"/>
          <w:i w:val="0"/>
          <w:sz w:val="22"/>
        </w:rPr>
        <w:t xml:space="preserve">17. Newey WK, West KD. A simple, positive semi-definite, heteroskedasticity and autocorrelation consistent covariance matrix. </w:t>
      </w:r>
      <w:r>
        <w:rPr>
          <w:rFonts w:ascii="Times New Roman" w:hAnsi="Times New Roman" w:eastAsia="Times New Roman"/>
          <w:b w:val="0"/>
          <w:i/>
          <w:sz w:val="22"/>
        </w:rPr>
        <w:t>Econometrica</w:t>
      </w:r>
      <w:r>
        <w:rPr>
          <w:rFonts w:ascii="Times New Roman" w:hAnsi="Times New Roman" w:eastAsia="Times New Roman"/>
          <w:b w:val="0"/>
          <w:i w:val="0"/>
          <w:sz w:val="22"/>
        </w:rPr>
        <w:t>. 1987;55(3):703-708. doi:10.2307/1913610</w:t>
      </w:r>
    </w:p>
    <w:p>
      <w:pPr>
        <w:keepNext w:val="0"/>
        <w:keepLines/>
        <w:spacing w:after="40" w:before="0" w:line="240" w:lineRule="auto"/>
        <w:ind w:left="425" w:hanging="425"/>
        <w:jc w:val="left"/>
      </w:pPr>
      <w:r>
        <w:rPr>
          <w:rFonts w:ascii="Times New Roman" w:hAnsi="Times New Roman" w:eastAsia="Times New Roman"/>
          <w:b w:val="0"/>
          <w:i w:val="0"/>
          <w:sz w:val="22"/>
        </w:rPr>
        <w:t xml:space="preserve">18. Benjamini Y, Hochberg Y. Controlling the false discovery rate: a practical and powerful approach to multiple testing. </w:t>
      </w:r>
      <w:r>
        <w:rPr>
          <w:rFonts w:ascii="Times New Roman" w:hAnsi="Times New Roman" w:eastAsia="Times New Roman"/>
          <w:b w:val="0"/>
          <w:i/>
          <w:sz w:val="22"/>
        </w:rPr>
        <w:t>J R Stat Soc Series B</w:t>
      </w:r>
      <w:r>
        <w:rPr>
          <w:rFonts w:ascii="Times New Roman" w:hAnsi="Times New Roman" w:eastAsia="Times New Roman"/>
          <w:b w:val="0"/>
          <w:i w:val="0"/>
          <w:sz w:val="22"/>
        </w:rPr>
        <w:t>. 1995;57(1):289-300. doi:10.1111/j.2517-6161.1995.tb02031.x</w:t>
      </w:r>
    </w:p>
    <w:p>
      <w:pPr>
        <w:keepNext/>
        <w:keepLines/>
        <w:spacing w:after="40" w:before="0" w:line="240" w:lineRule="auto"/>
        <w:ind w:left="425" w:hanging="425"/>
        <w:jc w:val="left"/>
      </w:pPr>
      <w:r>
        <w:rPr>
          <w:rFonts w:ascii="Times New Roman" w:hAnsi="Times New Roman" w:eastAsia="Times New Roman"/>
          <w:b w:val="0"/>
          <w:i w:val="0"/>
          <w:sz w:val="22"/>
        </w:rPr>
        <w:t xml:space="preserve">19. Chan EYY, Goggins WB, Yue JSK, Lee P. Hospital admissions as a function of temperature, other weather phenomena and pollution levels in an urban setting in China. </w:t>
      </w:r>
      <w:r>
        <w:rPr>
          <w:rFonts w:ascii="Times New Roman" w:hAnsi="Times New Roman" w:eastAsia="Times New Roman"/>
          <w:b w:val="0"/>
          <w:i/>
          <w:sz w:val="22"/>
        </w:rPr>
        <w:t>Bull World Health Organ</w:t>
      </w:r>
      <w:r>
        <w:rPr>
          <w:rFonts w:ascii="Times New Roman" w:hAnsi="Times New Roman" w:eastAsia="Times New Roman"/>
          <w:b w:val="0"/>
          <w:i w:val="0"/>
          <w:sz w:val="22"/>
        </w:rPr>
        <w:t>. 2013;91(8):576-584. doi:10.2471/BLT.12.113035</w:t>
      </w:r>
    </w:p>
    <w:p>
      <w:pPr>
        <w:keepNext/>
        <w:keepLines/>
        <w:spacing w:after="40" w:before="0" w:line="240" w:lineRule="auto"/>
        <w:ind w:left="425" w:hanging="425"/>
        <w:jc w:val="left"/>
      </w:pPr>
      <w:r>
        <w:rPr>
          <w:rFonts w:ascii="Times New Roman" w:hAnsi="Times New Roman" w:eastAsia="Times New Roman"/>
          <w:b w:val="0"/>
          <w:i w:val="0"/>
          <w:sz w:val="22"/>
        </w:rPr>
        <w:t xml:space="preserve">20. Basagaña X, Ballester J. Unbiased temperature-related mortality estimates using weekly and monthly health data: a new method for environmental epidemiology and climate impact studies. </w:t>
      </w:r>
      <w:r>
        <w:rPr>
          <w:rFonts w:ascii="Times New Roman" w:hAnsi="Times New Roman" w:eastAsia="Times New Roman"/>
          <w:b w:val="0"/>
          <w:i/>
          <w:sz w:val="22"/>
        </w:rPr>
        <w:t>Lancet Planet Health</w:t>
      </w:r>
      <w:r>
        <w:rPr>
          <w:rFonts w:ascii="Times New Roman" w:hAnsi="Times New Roman" w:eastAsia="Times New Roman"/>
          <w:b w:val="0"/>
          <w:i w:val="0"/>
          <w:sz w:val="22"/>
        </w:rPr>
        <w:t>. 2024;8(10):e766-e777. doi:10.1016/S2542-5196(24)00212-2</w:t>
      </w:r>
    </w:p>
    <w:p>
      <w:pPr>
        <w:keepNext/>
        <w:keepLines/>
        <w:spacing w:after="40" w:before="0" w:line="240" w:lineRule="auto"/>
        <w:ind w:left="425" w:hanging="425"/>
        <w:jc w:val="left"/>
      </w:pPr>
      <w:r>
        <w:rPr>
          <w:rFonts w:ascii="Times New Roman" w:hAnsi="Times New Roman" w:eastAsia="Times New Roman"/>
          <w:b w:val="0"/>
          <w:i w:val="0"/>
          <w:sz w:val="22"/>
        </w:rPr>
        <w:t xml:space="preserve">21. Basagaña X, Ballester J. Unbiased estimates using temporally aggregated outcome data in time series analysis: generalization to different outcomes, exposures, and types of aggregation. </w:t>
      </w:r>
      <w:r>
        <w:rPr>
          <w:rFonts w:ascii="Times New Roman" w:hAnsi="Times New Roman" w:eastAsia="Times New Roman"/>
          <w:b w:val="0"/>
          <w:i/>
          <w:sz w:val="22"/>
        </w:rPr>
        <w:t>Epidemiology</w:t>
      </w:r>
      <w:r>
        <w:rPr>
          <w:rFonts w:ascii="Times New Roman" w:hAnsi="Times New Roman" w:eastAsia="Times New Roman"/>
          <w:b w:val="0"/>
          <w:i w:val="0"/>
          <w:sz w:val="22"/>
        </w:rPr>
        <w:t>. 2026;37(1):16-20. doi:10.1097/EDE.0000000000001923</w:t>
      </w:r>
    </w:p>
    <w:p>
      <w:pPr>
        <w:keepNext/>
        <w:keepLines/>
        <w:spacing w:after="40" w:before="0" w:line="240" w:lineRule="auto"/>
        <w:ind w:left="425" w:hanging="425"/>
        <w:jc w:val="left"/>
      </w:pPr>
      <w:r>
        <w:rPr>
          <w:rFonts w:ascii="Times New Roman" w:hAnsi="Times New Roman" w:eastAsia="Times New Roman"/>
          <w:b w:val="0"/>
          <w:i w:val="0"/>
          <w:sz w:val="22"/>
        </w:rPr>
        <w:t xml:space="preserve">22. Liu J, Hansen A, Varghese B, et al. Cause-specific mortality attributable to cold and hot ambient temperatures in Hong Kong: a time-series study, 2006–2016. </w:t>
      </w:r>
      <w:r>
        <w:rPr>
          <w:rFonts w:ascii="Times New Roman" w:hAnsi="Times New Roman" w:eastAsia="Times New Roman"/>
          <w:b w:val="0"/>
          <w:i/>
          <w:sz w:val="22"/>
        </w:rPr>
        <w:t>Sustain Cities Soc</w:t>
      </w:r>
      <w:r>
        <w:rPr>
          <w:rFonts w:ascii="Times New Roman" w:hAnsi="Times New Roman" w:eastAsia="Times New Roman"/>
          <w:b w:val="0"/>
          <w:i w:val="0"/>
          <w:sz w:val="22"/>
        </w:rPr>
        <w:t>. 2020;57:102131. doi:10.1016/j.scs.2020.102131</w:t>
      </w:r>
    </w:p>
    <w:p>
      <w:pPr>
        <w:keepNext w:val="0"/>
        <w:keepLines/>
        <w:spacing w:after="40" w:before="0" w:line="240" w:lineRule="auto"/>
        <w:ind w:left="425" w:hanging="425"/>
        <w:jc w:val="left"/>
      </w:pPr>
      <w:r>
        <w:rPr>
          <w:rFonts w:ascii="Times New Roman" w:hAnsi="Times New Roman" w:eastAsia="Times New Roman"/>
          <w:b w:val="0"/>
          <w:i w:val="0"/>
          <w:sz w:val="22"/>
        </w:rPr>
        <w:t>23. Liu Z, Ren C, Liu J, Kawasaki Y, Bishai DM. Modelling the excess mortality associated with heat waves in Hong Kong: 2014–2023. medRxiv. 2026. doi:10.64898/2026.03.05.26347683</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9-13T11:45:40Z">
    <w:p>
      <w:pPr>
        <w:pStyle w:val="CommentText"/>
      </w:pPr>
      <w:r>
        <w:rPr>
          <w:rStyle w:val="CommentReference"/>
        </w:rPr>
        <w:annotationRef/>
      </w:r>
      <w:r>
        <w:t>Author order after the first and last positions remains for Professor Bishai and the team to confirm.</w:t>
      </w:r>
    </w:p>
  </w:comment>
  <w:comment w:id="1" w:author="Bob Shen" w:initials="BS" w:date="2026-09-13T11:45:40Z">
    <w:p>
      <w:pPr>
        <w:pStyle w:val="CommentText"/>
      </w:pPr>
      <w:r>
        <w:rPr>
          <w:rStyle w:val="CommentReference"/>
        </w:rPr>
        <w:annotationRef/>
      </w:r>
      <w:r>
        <w:t>The 84-month fit is a nested-window sensitivity. No 2020–2023-only Model 1 and no exposure-by-period interaction is reported.</w:t>
      </w:r>
    </w:p>
  </w:comment>
  <w:comment w:id="2" w:author="Bob Shen" w:initials="BS" w:date="2026-09-13T11:45:40Z">
    <w:p>
      <w:pPr>
        <w:pStyle w:val="CommentText"/>
      </w:pPr>
      <w:r>
        <w:rPr>
          <w:rStyle w:val="CommentReference"/>
        </w:rPr>
        <w:annotationRef/>
      </w:r>
      <w:r>
        <w:t>Professor Bishai should replace the IRB reference UW XX-XXX with the approved number before submission.</w:t>
      </w:r>
    </w:p>
  </w:comment>
  <w:comment w:id="3" w:author="Bob Shen" w:initials="BS" w:date="2026-09-13T11:45:40Z">
    <w:p>
      <w:pPr>
        <w:pStyle w:val="CommentText"/>
      </w:pPr>
      <w:r>
        <w:rPr>
          <w:rStyle w:val="CommentReference"/>
        </w:rPr>
        <w:annotationRef/>
      </w:r>
      <w:r>
        <w:t>Roro should confirm the written ICD inclusion list, first-event timing, and inpatient-versus-DAE construction before submission.</w:t>
      </w:r>
    </w:p>
  </w:comment>
  <w:comment w:id="4" w:author="Bob Shen" w:initials="BS" w:date="2026-09-13T11:45:40Z">
    <w:p>
      <w:pPr>
        <w:pStyle w:val="CommentText"/>
      </w:pPr>
      <w:r>
        <w:rPr>
          <w:rStyle w:val="CommentReference"/>
        </w:rPr>
        <w:annotationRef/>
      </w:r>
      <w:r>
        <w:t>Laboratory, infection, vaccination, and serology fields would require a new governed extract if Professor Bishai opens that scope.</w:t>
      </w:r>
    </w:p>
  </w:comment>
  <w:comment w:id="5" w:author="Bob Shen" w:initials="BS" w:date="2026-09-13T11:45:40Z">
    <w:p>
      <w:pPr>
        <w:pStyle w:val="CommentText"/>
      </w:pPr>
      <w:r>
        <w:rPr>
          <w:rStyle w:val="CommentReference"/>
        </w:rPr>
        <w:annotationRef/>
      </w:r>
      <w:r>
        <w:t>Hogan's meteorological wording is retained verbatim, including the averaging sentence.</w:t>
      </w:r>
    </w:p>
  </w:comment>
  <w:comment w:id="6" w:author="Bob Shen" w:initials="BS" w:date="2026-09-13T11:45:40Z">
    <w:p>
      <w:pPr>
        <w:pStyle w:val="CommentText"/>
      </w:pPr>
      <w:r>
        <w:rPr>
          <w:rStyle w:val="CommentReference"/>
        </w:rPr>
        <w:annotationRef/>
      </w:r>
      <w:r>
        <w:t>Model 2 and Model 3 are specified; no new coefficients are added because the governed panels are not present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Window dependence of first-event counts: official-day exhibit</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