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ind w:firstLine="0"/>
        <w:jc w:val="center"/>
      </w:pPr>
      <w:r>
        <w:rPr>
          <w:rFonts w:ascii="Times New Roman" w:hAnsi="Times New Roman" w:eastAsia="Times New Roman"/>
          <w:b/>
          <w:i w:val="0"/>
          <w:sz w:val="32"/>
        </w:rPr>
        <w:t>Live-track supplementary information</w:t>
      </w:r>
    </w:p>
    <w:p>
      <w:pPr>
        <w:keepNext w:val="0"/>
        <w:spacing w:after="160" w:before="0" w:line="240" w:lineRule="auto"/>
        <w:ind w:firstLine="0"/>
        <w:jc w:val="both"/>
      </w:pPr>
      <w:r>
        <w:rPr>
          <w:rFonts w:ascii="Times New Roman" w:hAnsi="Times New Roman" w:eastAsia="Times New Roman"/>
          <w:b/>
          <w:i w:val="0"/>
          <w:sz w:val="21"/>
        </w:rPr>
        <w:t>Authority:</w:t>
      </w:r>
      <w:r>
        <w:rPr>
          <w:rFonts w:ascii="Times New Roman" w:hAnsi="Times New Roman" w:eastAsia="Times New Roman"/>
          <w:b w:val="0"/>
          <w:i w:val="0"/>
          <w:sz w:val="21"/>
        </w:rPr>
        <w:t xml:space="preserve"> live collaborative manuscript </w:t>
      </w:r>
      <w:r>
        <w:rPr>
          <w:rFonts w:ascii="Times New Roman" w:hAnsi="Times New Roman" w:eastAsia="Times New Roman"/>
          <w:b w:val="0"/>
          <w:i/>
          <w:sz w:val="21"/>
        </w:rPr>
        <w:t>Heat_CVD_Manuscript_live_update.md</w:t>
      </w:r>
      <w:r>
        <w:rPr>
          <w:rFonts w:ascii="Times New Roman" w:hAnsi="Times New Roman" w:eastAsia="Times New Roman"/>
          <w:b w:val="0"/>
          <w:i w:val="0"/>
          <w:sz w:val="21"/>
        </w:rPr>
        <w:t xml:space="preserve">. </w:t>
      </w:r>
      <w:r>
        <w:rPr>
          <w:rFonts w:ascii="Times New Roman" w:hAnsi="Times New Roman" w:eastAsia="Times New Roman"/>
          <w:b/>
          <w:i w:val="0"/>
          <w:sz w:val="21"/>
        </w:rPr>
        <w:t>Not</w:t>
      </w:r>
      <w:r>
        <w:rPr>
          <w:rFonts w:ascii="Times New Roman" w:hAnsi="Times New Roman" w:eastAsia="Times New Roman"/>
          <w:b w:val="0"/>
          <w:i w:val="0"/>
          <w:sz w:val="21"/>
        </w:rPr>
        <w:t xml:space="preserve"> the 10 August </w:t>
      </w:r>
      <w:r>
        <w:rPr>
          <w:rFonts w:ascii="Times New Roman" w:hAnsi="Times New Roman" w:eastAsia="Times New Roman"/>
          <w:b w:val="0"/>
          <w:i/>
          <w:sz w:val="21"/>
        </w:rPr>
        <w:t>manuscript/chd_hf_supplement.pdf</w:t>
      </w:r>
      <w:r>
        <w:rPr>
          <w:rFonts w:ascii="Times New Roman" w:hAnsi="Times New Roman" w:eastAsia="Times New Roman"/>
          <w:b w:val="0"/>
          <w:i w:val="0"/>
          <w:sz w:val="21"/>
        </w:rPr>
        <w:t xml:space="preserve"> (do not rebuild).</w:t>
      </w:r>
    </w:p>
    <w:p>
      <w:pPr>
        <w:keepNext w:val="0"/>
        <w:spacing w:after="160" w:before="0" w:line="240" w:lineRule="auto"/>
        <w:ind w:firstLine="720"/>
        <w:jc w:val="both"/>
      </w:pPr>
      <w:r>
        <w:rPr>
          <w:rFonts w:ascii="Times New Roman" w:hAnsi="Times New Roman" w:eastAsia="Times New Roman"/>
          <w:b w:val="0"/>
          <w:i w:val="0"/>
          <w:sz w:val="21"/>
        </w:rPr>
        <w:t xml:space="preserve">This file is the journal-takeable supplement for the analysis-window sensitivity manuscript. Every numeral is transcribed from an existing </w:t>
      </w:r>
      <w:r>
        <w:rPr>
          <w:rFonts w:ascii="Times New Roman" w:hAnsi="Times New Roman" w:eastAsia="Times New Roman"/>
          <w:b w:val="0"/>
          <w:i/>
          <w:sz w:val="21"/>
        </w:rPr>
        <w:t>HA_APPROVED_AGGREGATE</w:t>
      </w:r>
      <w:r>
        <w:rPr>
          <w:rFonts w:ascii="Times New Roman" w:hAnsi="Times New Roman" w:eastAsia="Times New Roman"/>
          <w:b w:val="0"/>
          <w:i w:val="0"/>
          <w:sz w:val="21"/>
        </w:rPr>
        <w:t xml:space="preserve">, </w:t>
      </w:r>
      <w:r>
        <w:rPr>
          <w:rFonts w:ascii="Times New Roman" w:hAnsi="Times New Roman" w:eastAsia="Times New Roman"/>
          <w:b w:val="0"/>
          <w:i/>
          <w:sz w:val="21"/>
        </w:rPr>
        <w:t>REAL</w:t>
      </w:r>
      <w:r>
        <w:rPr>
          <w:rFonts w:ascii="Times New Roman" w:hAnsi="Times New Roman" w:eastAsia="Times New Roman"/>
          <w:b w:val="0"/>
          <w:i w:val="0"/>
          <w:sz w:val="21"/>
        </w:rPr>
        <w:t xml:space="preserve">, or </w:t>
      </w:r>
      <w:r>
        <w:rPr>
          <w:rFonts w:ascii="Times New Roman" w:hAnsi="Times New Roman" w:eastAsia="Times New Roman"/>
          <w:b w:val="0"/>
          <w:i/>
          <w:sz w:val="21"/>
        </w:rPr>
        <w:t>SYNTHETIC_CALIBRATION</w:t>
      </w:r>
      <w:r>
        <w:rPr>
          <w:rFonts w:ascii="Times New Roman" w:hAnsi="Times New Roman" w:eastAsia="Times New Roman"/>
          <w:b w:val="0"/>
          <w:i w:val="0"/>
          <w:sz w:val="21"/>
        </w:rPr>
        <w:t xml:space="preserve"> table. No new health model was fitted. The twelve thermal fits are </w:t>
      </w:r>
      <w:r>
        <w:rPr>
          <w:rFonts w:ascii="Times New Roman" w:hAnsi="Times New Roman" w:eastAsia="Times New Roman"/>
          <w:b/>
          <w:i w:val="0"/>
          <w:sz w:val="21"/>
        </w:rPr>
        <w:t>Model 1</w:t>
      </w:r>
      <w:r>
        <w:rPr>
          <w:rFonts w:ascii="Times New Roman" w:hAnsi="Times New Roman" w:eastAsia="Times New Roman"/>
          <w:b w:val="0"/>
          <w:i w:val="0"/>
          <w:sz w:val="21"/>
        </w:rPr>
        <w:t xml:space="preserve">. Archive influenza and pollution models are </w:t>
      </w:r>
      <w:r>
        <w:rPr>
          <w:rFonts w:ascii="Times New Roman" w:hAnsi="Times New Roman" w:eastAsia="Times New Roman"/>
          <w:b/>
          <w:i w:val="0"/>
          <w:sz w:val="21"/>
        </w:rPr>
        <w:t>not</w:t>
      </w:r>
      <w:r>
        <w:rPr>
          <w:rFonts w:ascii="Times New Roman" w:hAnsi="Times New Roman" w:eastAsia="Times New Roman"/>
          <w:b w:val="0"/>
          <w:i w:val="0"/>
          <w:sz w:val="21"/>
        </w:rPr>
        <w:t xml:space="preserve"> adjusted versions of Model 1. No confirmatory primary is declared.</w:t>
      </w:r>
    </w:p>
    <w:p>
      <w:pPr>
        <w:keepNext w:val="0"/>
        <w:spacing w:after="160" w:before="0" w:line="240" w:lineRule="auto"/>
        <w:ind w:firstLine="720"/>
        <w:jc w:val="both"/>
      </w:pPr>
      <w:r>
        <w:rPr>
          <w:rFonts w:ascii="Times New Roman" w:hAnsi="Times New Roman" w:eastAsia="Times New Roman"/>
          <w:b w:val="0"/>
          <w:i w:val="0"/>
          <w:sz w:val="21"/>
        </w:rPr>
        <w:t xml:space="preserve">Numbering matches the live body: Supplementary Figure S1 is residual ACF; Supplementary Tables S7 and S9 are archive influenza and archive pollution. The release heatmap filename </w:t>
      </w:r>
      <w:r>
        <w:rPr>
          <w:rFonts w:ascii="Times New Roman" w:hAnsi="Times New Roman" w:eastAsia="Times New Roman"/>
          <w:b w:val="0"/>
          <w:i/>
          <w:sz w:val="21"/>
        </w:rPr>
        <w:t>figureS1_exposure_correlation.png</w:t>
      </w:r>
      <w:r>
        <w:rPr>
          <w:rFonts w:ascii="Times New Roman" w:hAnsi="Times New Roman" w:eastAsia="Times New Roman"/>
          <w:b w:val="0"/>
          <w:i w:val="0"/>
          <w:sz w:val="21"/>
        </w:rPr>
        <w:t xml:space="preserve"> is Supplementary Figure </w:t>
      </w:r>
      <w:r>
        <w:rPr>
          <w:rFonts w:ascii="Times New Roman" w:hAnsi="Times New Roman" w:eastAsia="Times New Roman"/>
          <w:b/>
          <w:i w:val="0"/>
          <w:sz w:val="21"/>
        </w:rPr>
        <w:t>S4</w:t>
      </w:r>
      <w:r>
        <w:rPr>
          <w:rFonts w:ascii="Times New Roman" w:hAnsi="Times New Roman" w:eastAsia="Times New Roman"/>
          <w:b w:val="0"/>
          <w:i w:val="0"/>
          <w:sz w:val="21"/>
        </w:rPr>
        <w:t xml:space="preserve"> here. Figure S5 remains unassigned so the established continuous-temperature display can remain Supplementary Figure S6.</w:t>
      </w:r>
    </w:p>
    <w:p>
      <w:pPr>
        <w:keepNext/>
        <w:pageBreakBefore/>
        <w:spacing w:after="120" w:before="0" w:line="240" w:lineRule="auto"/>
        <w:ind w:firstLine="0"/>
        <w:jc w:val="left"/>
      </w:pPr>
      <w:r>
        <w:rPr>
          <w:rFonts w:ascii="Times New Roman" w:hAnsi="Times New Roman" w:eastAsia="Times New Roman"/>
          <w:b/>
          <w:i w:val="0"/>
          <w:sz w:val="25"/>
        </w:rPr>
        <w:t>Supplementary Figure S1. Residual autocorrelation in two displayed exploratory models</w:t>
      </w:r>
    </w:p>
    <w:p>
      <w:pPr>
        <w:keepLines/>
        <w:spacing w:after="80" w:before="0" w:line="240" w:lineRule="auto"/>
        <w:ind w:firstLine="0"/>
        <w:jc w:val="center"/>
      </w:pPr>
      <w:r>
        <w:drawing>
          <wp:inline xmlns:a="http://schemas.openxmlformats.org/drawingml/2006/main" xmlns:pic="http://schemas.openxmlformats.org/drawingml/2006/picture">
            <wp:extent cx="5577840" cy="3765042"/>
            <wp:docPr id="1" name="Picture 1"/>
            <wp:cNvGraphicFramePr>
              <a:graphicFrameLocks noChangeAspect="1"/>
            </wp:cNvGraphicFramePr>
            <a:graphic>
              <a:graphicData uri="http://schemas.openxmlformats.org/drawingml/2006/picture">
                <pic:pic>
                  <pic:nvPicPr>
                    <pic:cNvPr id="0" name="figure_C_residual_acf.png"/>
                    <pic:cNvPicPr/>
                  </pic:nvPicPr>
                  <pic:blipFill>
                    <a:blip r:embed="rId10"/>
                    <a:stretch>
                      <a:fillRect/>
                    </a:stretch>
                  </pic:blipFill>
                  <pic:spPr>
                    <a:xfrm>
                      <a:off x="0" y="0"/>
                      <a:ext cx="5577840" cy="3765042"/>
                    </a:xfrm>
                    <a:prstGeom prst="rect"/>
                  </pic:spPr>
                </pic:pic>
              </a:graphicData>
            </a:graphic>
          </wp:inline>
        </w:drawing>
      </w:r>
    </w:p>
    <w:p>
      <w:pPr>
        <w:keepNext w:val="0"/>
        <w:spacing w:after="160" w:before="0" w:line="240" w:lineRule="auto"/>
        <w:ind w:firstLine="720"/>
        <w:jc w:val="both"/>
      </w:pPr>
      <w:r>
        <w:rPr>
          <w:rFonts w:ascii="Times New Roman" w:hAnsi="Times New Roman" w:eastAsia="Times New Roman"/>
          <w:b w:val="0"/>
          <w:i w:val="0"/>
          <w:sz w:val="21"/>
        </w:rPr>
        <w:t>Bars show the Pearson residual autocorrelation function for the separate-exposure negative-binomial CHD hot-night and HF cold-day models. Dashed lines mark ±1.96/√132. Lag-1 residual autocorrelation was 0.508 for CHD hot nights and 0.146 for HF cold days. These diagnostics motivate reporting more than one covariance estimator; they do not establish that a particular estimator is correct, protect either contrast from multiplicity, or identify a causal thermal effect. Source: residuals from the governed aggregate Model 1 fits.</w:t>
      </w:r>
    </w:p>
    <w:p>
      <w:pPr>
        <w:keepNext/>
        <w:pageBreakBefore/>
        <w:spacing w:after="120" w:before="0" w:line="240" w:lineRule="auto"/>
        <w:ind w:firstLine="0"/>
        <w:jc w:val="left"/>
      </w:pPr>
      <w:r>
        <w:rPr>
          <w:rFonts w:ascii="Times New Roman" w:hAnsi="Times New Roman" w:eastAsia="Times New Roman"/>
          <w:b/>
          <w:i w:val="0"/>
          <w:sz w:val="25"/>
        </w:rPr>
        <w:t>Supplementary Table S1. Complete Model 1 uncertainty ladder</w:t>
      </w:r>
    </w:p>
    <w:p>
      <w:pPr>
        <w:keepNext w:val="0"/>
        <w:spacing w:after="160" w:before="0" w:line="240" w:lineRule="auto"/>
        <w:ind w:firstLine="720"/>
        <w:jc w:val="both"/>
      </w:pPr>
      <w:r>
        <w:rPr>
          <w:rFonts w:ascii="Times New Roman" w:hAnsi="Times New Roman" w:eastAsia="Times New Roman"/>
          <w:b w:val="0"/>
          <w:i w:val="0"/>
          <w:sz w:val="21"/>
        </w:rPr>
        <w:t xml:space="preserve">Count ratios use the days-in-month offset. Intervals are model-based, HC1, Newey–West lag 3, and Newey–West lag 6. No interval was selected because it excluded 1. Display strings are those in </w:t>
      </w:r>
      <w:r>
        <w:rPr>
          <w:rFonts w:ascii="Times New Roman" w:hAnsi="Times New Roman" w:eastAsia="Times New Roman"/>
          <w:b w:val="0"/>
          <w:i/>
          <w:sz w:val="21"/>
        </w:rPr>
        <w:t>outputs/release_chd_hf/tables/table4_uncertainty_ladder.csv</w:t>
      </w:r>
      <w:r>
        <w:rPr>
          <w:rFonts w:ascii="Times New Roman" w:hAnsi="Times New Roman" w:eastAsia="Times New Roman"/>
          <w:b w:val="0"/>
          <w:i w:val="0"/>
          <w:sz w:val="21"/>
        </w:rPr>
        <w:t>.</w:t>
      </w:r>
    </w:p>
    <w:tbl>
      <w:tblPr>
        <w:tblStyle w:val="TableGrid"/>
        <w:tblLayout w:type="fixed"/>
        <w:tblLook w:firstColumn="1" w:firstRow="1" w:lastColumn="0" w:lastRow="0" w:noHBand="0" w:noVBand="1" w:val="04A0"/>
        <w:tblW w:w="5000" w:type="pct"/>
        <w:tblLayout w:type="fixed"/>
      </w:tblPr>
      <w:tblGrid>
        <w:gridCol w:w="1464"/>
        <w:gridCol w:w="1464"/>
        <w:gridCol w:w="1464"/>
        <w:gridCol w:w="1464"/>
        <w:gridCol w:w="1464"/>
        <w:gridCol w:w="1464"/>
      </w:tblGrid>
      <w:tr>
        <w:trPr>
          <w:cantSplit/>
          <w:tblHeader/>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Outcome</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Exposure contrast</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Model</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HC1</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NW3</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NW6</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temperature / 1 °C</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(0.977–1.009)</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(0.974–1.012)</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(0.976–1.011)</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(0.976–1.010)</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maximum temperature / 1 °C</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(0.979–1.007)</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(0.976–1.010)</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(0.978–1.008)</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(0.979–1.007)</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minimum temperature / 1 °C</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0.994 (0.979–1.010)</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0.994 (0.976–1.012)</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0.994 (0.977–1.012)</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0.994 (0.977–1.012)</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Hot nights / 5 days</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1.022 (0.995–1.049)</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1.022 (0.997–1.047)</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1.022 (1.000–1.044)</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1.022 (1.002–1.042)</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Cold days / 5 days</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0.995 (0.954–1.037)</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0.995 (0.956–1.035)</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0.995 (0.949–1.042)</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0.995 (0.949–1.043)</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Very hot days / 5 days</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0.999 (0.974–1.025)</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0.999 (0.975–1.025)</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0.999 (0.973–1.026)</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0.999 (0.974–1.025)</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temperature / 1 °C</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0.974 (0.956–0.993)</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0.974 (0.949–1.000)</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0.974 (0.949–1.001)</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0.974 (0.947–1.002)</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maximum temperature / 1 °C</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0.981 (0.964–0.998)</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0.981 (0.958–1.004)</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0.981 (0.959–1.004)</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0.981 (0.958–1.005)</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minimum temperature / 1 °C</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0.973 (0.956–0.991)</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0.973 (0.950–0.997)</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0.973 (0.948–0.999)</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0.973 (0.947–1.000)</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Hot nights / 5 days</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1.003 (0.970–1.037)</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1.003 (0.971–1.037)</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1.003 (0.974–1.033)</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1.003 (0.976–1.031)</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Cold days / 5 days</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1.073 (1.023–1.125)</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1.073 (1.011–1.138)</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1.073 (1.007–1.143)</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1.073 (1.006–1.144)</w:t>
            </w:r>
          </w:p>
        </w:tc>
      </w:tr>
      <w:tr>
        <w:trPr>
          <w:cantSplit/>
        </w:trPr>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HF</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Very hot days / 5 days</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0.995 (0.964–1.027)</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0.995 (0.963–1.028)</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0.995 (0.964–1.027)</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0.995 (0.963–1.028)</w:t>
            </w:r>
          </w:p>
        </w:tc>
      </w:tr>
    </w:tbl>
    <w:p>
      <w:pPr>
        <w:keepNext/>
        <w:pageBreakBefore/>
        <w:spacing w:after="120" w:before="0" w:line="240" w:lineRule="auto"/>
        <w:ind w:firstLine="0"/>
        <w:jc w:val="left"/>
      </w:pPr>
      <w:r>
        <w:rPr>
          <w:rFonts w:ascii="Times New Roman" w:hAnsi="Times New Roman" w:eastAsia="Times New Roman"/>
          <w:b/>
          <w:i w:val="0"/>
          <w:sz w:val="25"/>
        </w:rPr>
        <w:t>Supplementary Figure S2. Standard-error method ladder for two displayed exploratory contrasts</w:t>
      </w:r>
    </w:p>
    <w:p>
      <w:pPr>
        <w:keepLines/>
        <w:spacing w:after="80" w:before="0" w:line="240" w:lineRule="auto"/>
        <w:ind w:firstLine="0"/>
        <w:jc w:val="center"/>
      </w:pPr>
      <w:r>
        <w:drawing>
          <wp:inline xmlns:a="http://schemas.openxmlformats.org/drawingml/2006/main" xmlns:pic="http://schemas.openxmlformats.org/drawingml/2006/picture">
            <wp:extent cx="5577840" cy="4227416"/>
            <wp:docPr id="2" name="Picture 2"/>
            <wp:cNvGraphicFramePr>
              <a:graphicFrameLocks noChangeAspect="1"/>
            </wp:cNvGraphicFramePr>
            <a:graphic>
              <a:graphicData uri="http://schemas.openxmlformats.org/drawingml/2006/picture">
                <pic:pic>
                  <pic:nvPicPr>
                    <pic:cNvPr id="0" name="figure5_se_method_ladder.png"/>
                    <pic:cNvPicPr/>
                  </pic:nvPicPr>
                  <pic:blipFill>
                    <a:blip r:embed="rId11"/>
                    <a:stretch>
                      <a:fillRect/>
                    </a:stretch>
                  </pic:blipFill>
                  <pic:spPr>
                    <a:xfrm>
                      <a:off x="0" y="0"/>
                      <a:ext cx="5577840" cy="4227416"/>
                    </a:xfrm>
                    <a:prstGeom prst="rect"/>
                  </pic:spPr>
                </pic:pic>
              </a:graphicData>
            </a:graphic>
          </wp:inline>
        </w:drawing>
      </w:r>
    </w:p>
    <w:p>
      <w:pPr>
        <w:keepNext w:val="0"/>
        <w:spacing w:after="160" w:before="0" w:line="240" w:lineRule="auto"/>
        <w:ind w:firstLine="720"/>
        <w:jc w:val="both"/>
      </w:pPr>
      <w:r>
        <w:rPr>
          <w:rFonts w:ascii="Times New Roman" w:hAnsi="Times New Roman" w:eastAsia="Times New Roman"/>
          <w:b w:val="0"/>
          <w:i w:val="0"/>
          <w:sz w:val="21"/>
        </w:rPr>
        <w:t xml:space="preserve">The figure displays the same four constructions as Table 3 of the main paper. Concordance across constructions is not multiplicity protection. Source: </w:t>
      </w:r>
      <w:r>
        <w:rPr>
          <w:rFonts w:ascii="Times New Roman" w:hAnsi="Times New Roman" w:eastAsia="Times New Roman"/>
          <w:b w:val="0"/>
          <w:i/>
          <w:sz w:val="21"/>
        </w:rPr>
        <w:t>outputs/release_chd_hf/figures/figure5_se_method_ladder.png</w:t>
      </w:r>
      <w:r>
        <w:rPr>
          <w:rFonts w:ascii="Times New Roman" w:hAnsi="Times New Roman" w:eastAsia="Times New Roman"/>
          <w:b w:val="0"/>
          <w:i w:val="0"/>
          <w:sz w:val="21"/>
        </w:rPr>
        <w:t>.</w:t>
      </w:r>
    </w:p>
    <w:p>
      <w:pPr>
        <w:keepNext/>
        <w:pageBreakBefore/>
        <w:spacing w:after="120" w:before="0" w:line="240" w:lineRule="auto"/>
        <w:ind w:firstLine="0"/>
        <w:jc w:val="left"/>
      </w:pPr>
      <w:r>
        <w:rPr>
          <w:rFonts w:ascii="Times New Roman" w:hAnsi="Times New Roman" w:eastAsia="Times New Roman"/>
          <w:b/>
          <w:i w:val="0"/>
          <w:sz w:val="25"/>
        </w:rPr>
        <w:t>Supplementary Table S2. Model 1 contrasts in the pre-2020 window (Newey–West lag-6)</w:t>
      </w:r>
    </w:p>
    <w:p>
      <w:pPr>
        <w:keepNext w:val="0"/>
        <w:spacing w:after="160" w:before="0" w:line="240" w:lineRule="auto"/>
        <w:ind w:firstLine="720"/>
        <w:jc w:val="both"/>
      </w:pPr>
      <w:r>
        <w:rPr>
          <w:rFonts w:ascii="Times New Roman" w:hAnsi="Times New Roman" w:eastAsia="Times New Roman"/>
          <w:b w:val="0"/>
          <w:i w:val="0"/>
          <w:sz w:val="21"/>
        </w:rPr>
        <w:t xml:space="preserve">January 2013–December 2019; 84 months. Nine of twelve intervals exclude 1. All six continuous temperature contrasts are inverse. No multiplicity control was computed within this window, and no pre-2020 estimate is promoted beyond a sensitivity. Source: </w:t>
      </w:r>
      <w:r>
        <w:rPr>
          <w:rFonts w:ascii="Times New Roman" w:hAnsi="Times New Roman" w:eastAsia="Times New Roman"/>
          <w:b w:val="0"/>
          <w:i/>
          <w:sz w:val="21"/>
        </w:rPr>
        <w:t>pre_covid</w:t>
      </w:r>
      <w:r>
        <w:rPr>
          <w:rFonts w:ascii="Times New Roman" w:hAnsi="Times New Roman" w:eastAsia="Times New Roman"/>
          <w:b w:val="0"/>
          <w:i w:val="0"/>
          <w:sz w:val="21"/>
        </w:rPr>
        <w:t xml:space="preserve"> rows of </w:t>
      </w:r>
      <w:r>
        <w:rPr>
          <w:rFonts w:ascii="Times New Roman" w:hAnsi="Times New Roman" w:eastAsia="Times New Roman"/>
          <w:b w:val="0"/>
          <w:i/>
          <w:sz w:val="21"/>
        </w:rPr>
        <w:t>outputs/release_chd_hf/supplement/cvd_trend_depletion_sensitivity.csv</w:t>
      </w:r>
      <w:r>
        <w:rPr>
          <w:rFonts w:ascii="Times New Roman" w:hAnsi="Times New Roman" w:eastAsia="Times New Roman"/>
          <w:b w:val="0"/>
          <w:i w:val="0"/>
          <w:sz w:val="21"/>
        </w:rPr>
        <w:t>. Main-text Figure 3 shows the six official-count fits. Continuous-temperature fits for the same nine specifications are Supplementary Figure S6.</w:t>
      </w:r>
    </w:p>
    <w:tbl>
      <w:tblPr>
        <w:tblStyle w:val="TableGrid"/>
        <w:tblLayout w:type="fixed"/>
        <w:tblLook w:firstColumn="1" w:firstRow="1" w:lastColumn="0" w:lastRow="0" w:noHBand="0" w:noVBand="1" w:val="04A0"/>
        <w:tblW w:w="5000" w:type="pct"/>
        <w:tblLayout w:type="fixed"/>
      </w:tblPr>
      <w:tblGrid>
        <w:gridCol w:w="2196"/>
        <w:gridCol w:w="2196"/>
        <w:gridCol w:w="2196"/>
        <w:gridCol w:w="2196"/>
      </w:tblGrid>
      <w:tr>
        <w:trPr>
          <w:cantSplit/>
          <w:tblHeader/>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Outcome</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Exposure contrast</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Count ratio (NW6 95% CI)</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Interval</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0.980 (0.970–0.990)</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maximum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0.982 (0.974–0.991)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minimum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0.982 (0.972–0.992)</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Hot nights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1.011 (0.991–1.032)</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includes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Cold days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1.036 (1.007–1.067)</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Very hot days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0.997 (0.982–1.012)</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includes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0.945 (0.927–0.963)</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maximum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0.958 (0.939–0.977)</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minimum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0.944 (0.927–0.961)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Hot nights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0.965 (0.937–0.994)</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Cold days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1.113 (1.053–1.176)</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excludes 1</w:t>
            </w:r>
          </w:p>
        </w:tc>
      </w:tr>
      <w:tr>
        <w:trPr>
          <w:cantSplit/>
        </w:trPr>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Very hot days / 5 days</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0.990 (0.960–1.021)</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includes 1</w:t>
            </w:r>
          </w:p>
        </w:tc>
      </w:tr>
    </w:tbl>
    <w:p>
      <w:pPr>
        <w:keepNext/>
        <w:pageBreakBefore/>
        <w:spacing w:after="120" w:before="0" w:line="240" w:lineRule="auto"/>
        <w:ind w:firstLine="0"/>
        <w:jc w:val="left"/>
      </w:pPr>
      <w:r>
        <w:rPr>
          <w:rFonts w:ascii="Times New Roman" w:hAnsi="Times New Roman" w:eastAsia="Times New Roman"/>
          <w:b/>
          <w:i w:val="0"/>
          <w:sz w:val="25"/>
        </w:rPr>
        <w:t>Supplementary Figure S6. Continuous-temperature Model 1 estimates across the same checks</w:t>
      </w:r>
    </w:p>
    <w:p>
      <w:pPr>
        <w:keepLines/>
        <w:spacing w:after="80" w:before="0" w:line="240" w:lineRule="auto"/>
        <w:ind w:firstLine="0"/>
        <w:jc w:val="center"/>
      </w:pPr>
      <w:r>
        <w:drawing>
          <wp:inline xmlns:a="http://schemas.openxmlformats.org/drawingml/2006/main" xmlns:pic="http://schemas.openxmlformats.org/drawingml/2006/picture">
            <wp:extent cx="5553580" cy="6583680"/>
            <wp:docPr id="3" name="Picture 3"/>
            <wp:cNvGraphicFramePr>
              <a:graphicFrameLocks noChangeAspect="1"/>
            </wp:cNvGraphicFramePr>
            <a:graphic>
              <a:graphicData uri="http://schemas.openxmlformats.org/drawingml/2006/picture">
                <pic:pic>
                  <pic:nvPicPr>
                    <pic:cNvPr id="0" name="figure_E_continuous_temperature_sensitivity.png"/>
                    <pic:cNvPicPr/>
                  </pic:nvPicPr>
                  <pic:blipFill>
                    <a:blip r:embed="rId12"/>
                    <a:stretch>
                      <a:fillRect/>
                    </a:stretch>
                  </pic:blipFill>
                  <pic:spPr>
                    <a:xfrm>
                      <a:off x="0" y="0"/>
                      <a:ext cx="5553580" cy="6583680"/>
                    </a:xfrm>
                    <a:prstGeom prst="rect"/>
                  </pic:spPr>
                </pic:pic>
              </a:graphicData>
            </a:graphic>
          </wp:inline>
        </w:drawing>
      </w:r>
    </w:p>
    <w:p>
      <w:pPr>
        <w:keepNext w:val="0"/>
        <w:spacing w:after="160" w:before="0" w:line="240" w:lineRule="auto"/>
        <w:ind w:firstLine="720"/>
        <w:jc w:val="both"/>
      </w:pPr>
      <w:r>
        <w:rPr>
          <w:rFonts w:ascii="Times New Roman" w:hAnsi="Times New Roman" w:eastAsia="Times New Roman"/>
          <w:b w:val="0"/>
          <w:i w:val="0"/>
          <w:sz w:val="21"/>
        </w:rPr>
        <w:t xml:space="preserve">Same nine trend, window, and COVID-period specifications as main-text Figure 3. Each estimate is per 1 °C. Pre-2020 inverse associations for mean, maximum, and minimum temperature are in this panel. Rows labelled 3, 6, or 8 df change the time-trend spline, not heatwave length. Source: </w:t>
      </w:r>
      <w:r>
        <w:rPr>
          <w:rFonts w:ascii="Times New Roman" w:hAnsi="Times New Roman" w:eastAsia="Times New Roman"/>
          <w:b w:val="0"/>
          <w:i/>
          <w:sz w:val="21"/>
        </w:rPr>
        <w:t>outputs/tables/cvd_trend_depletion_sensitivity.csv</w:t>
      </w:r>
      <w:r>
        <w:rPr>
          <w:rFonts w:ascii="Times New Roman" w:hAnsi="Times New Roman" w:eastAsia="Times New Roman"/>
          <w:b w:val="0"/>
          <w:i w:val="0"/>
          <w:sz w:val="21"/>
        </w:rPr>
        <w:t xml:space="preserve"> (</w:t>
      </w:r>
      <w:r>
        <w:rPr>
          <w:rFonts w:ascii="Times New Roman" w:hAnsi="Times New Roman" w:eastAsia="Times New Roman"/>
          <w:b w:val="0"/>
          <w:i/>
          <w:sz w:val="21"/>
        </w:rPr>
        <w:t>HA_APPROVED_AGGREGATE</w:t>
      </w:r>
      <w:r>
        <w:rPr>
          <w:rFonts w:ascii="Times New Roman" w:hAnsi="Times New Roman" w:eastAsia="Times New Roman"/>
          <w:b w:val="0"/>
          <w:i w:val="0"/>
          <w:sz w:val="21"/>
        </w:rPr>
        <w:t>). No new health model.</w:t>
      </w:r>
    </w:p>
    <w:p>
      <w:pPr>
        <w:keepNext/>
        <w:pageBreakBefore/>
        <w:spacing w:after="120" w:before="0" w:line="240" w:lineRule="auto"/>
        <w:ind w:firstLine="0"/>
        <w:jc w:val="left"/>
      </w:pPr>
      <w:r>
        <w:rPr>
          <w:rFonts w:ascii="Times New Roman" w:hAnsi="Times New Roman" w:eastAsia="Times New Roman"/>
          <w:b/>
          <w:i w:val="0"/>
          <w:sz w:val="25"/>
        </w:rPr>
        <w:t>Supplementary Figure S3. Complete twelve-contrast Model 1 forest (Newey–West lag-6)</w:t>
      </w:r>
    </w:p>
    <w:p>
      <w:pPr>
        <w:keepLines/>
        <w:spacing w:after="80" w:before="0" w:line="240" w:lineRule="auto"/>
        <w:ind w:firstLine="0"/>
        <w:jc w:val="center"/>
      </w:pPr>
      <w:r>
        <w:drawing>
          <wp:inline xmlns:a="http://schemas.openxmlformats.org/drawingml/2006/main" xmlns:pic="http://schemas.openxmlformats.org/drawingml/2006/picture">
            <wp:extent cx="5577840" cy="3517420"/>
            <wp:docPr id="4" name="Picture 4"/>
            <wp:cNvGraphicFramePr>
              <a:graphicFrameLocks noChangeAspect="1"/>
            </wp:cNvGraphicFramePr>
            <a:graphic>
              <a:graphicData uri="http://schemas.openxmlformats.org/drawingml/2006/picture">
                <pic:pic>
                  <pic:nvPicPr>
                    <pic:cNvPr id="0" name="figure3_core_forest.png"/>
                    <pic:cNvPicPr/>
                  </pic:nvPicPr>
                  <pic:blipFill>
                    <a:blip r:embed="rId13"/>
                    <a:stretch>
                      <a:fillRect/>
                    </a:stretch>
                  </pic:blipFill>
                  <pic:spPr>
                    <a:xfrm>
                      <a:off x="0" y="0"/>
                      <a:ext cx="5577840" cy="3517420"/>
                    </a:xfrm>
                    <a:prstGeom prst="rect"/>
                  </pic:spPr>
                </pic:pic>
              </a:graphicData>
            </a:graphic>
          </wp:inline>
        </w:drawing>
      </w:r>
    </w:p>
    <w:p>
      <w:pPr>
        <w:keepNext w:val="0"/>
        <w:spacing w:after="160" w:before="0" w:line="240" w:lineRule="auto"/>
        <w:ind w:firstLine="720"/>
        <w:jc w:val="both"/>
      </w:pPr>
      <w:r>
        <w:rPr>
          <w:rFonts w:ascii="Times New Roman" w:hAnsi="Times New Roman" w:eastAsia="Times New Roman"/>
          <w:b w:val="0"/>
          <w:i w:val="0"/>
          <w:sz w:val="21"/>
        </w:rPr>
        <w:t xml:space="preserve">This figure shows the complete full-window Model 1 panel; main-text Table 2 instead reports the nested-window official-day sensitivity. Source: </w:t>
      </w:r>
      <w:r>
        <w:rPr>
          <w:rFonts w:ascii="Times New Roman" w:hAnsi="Times New Roman" w:eastAsia="Times New Roman"/>
          <w:b w:val="0"/>
          <w:i/>
          <w:sz w:val="21"/>
        </w:rPr>
        <w:t>outputs/release_chd_hf/figures/figure3_core_forest.png</w:t>
      </w:r>
      <w:r>
        <w:rPr>
          <w:rFonts w:ascii="Times New Roman" w:hAnsi="Times New Roman" w:eastAsia="Times New Roman"/>
          <w:b w:val="0"/>
          <w:i w:val="0"/>
          <w:sz w:val="21"/>
        </w:rPr>
        <w:t>.</w:t>
      </w:r>
    </w:p>
    <w:p>
      <w:pPr>
        <w:keepNext/>
        <w:pageBreakBefore/>
        <w:spacing w:after="120" w:before="0" w:line="240" w:lineRule="auto"/>
        <w:ind w:firstLine="0"/>
        <w:jc w:val="left"/>
      </w:pPr>
      <w:r>
        <w:rPr>
          <w:rFonts w:ascii="Times New Roman" w:hAnsi="Times New Roman" w:eastAsia="Times New Roman"/>
          <w:b/>
          <w:i w:val="0"/>
          <w:sz w:val="25"/>
        </w:rPr>
        <w:t>Supplementary Figure S4. Pairwise exposure correlations</w:t>
      </w:r>
    </w:p>
    <w:p>
      <w:pPr>
        <w:keepLines/>
        <w:spacing w:after="80" w:before="0" w:line="240" w:lineRule="auto"/>
        <w:ind w:firstLine="0"/>
        <w:jc w:val="center"/>
      </w:pPr>
      <w:r>
        <w:drawing>
          <wp:inline xmlns:a="http://schemas.openxmlformats.org/drawingml/2006/main" xmlns:pic="http://schemas.openxmlformats.org/drawingml/2006/picture">
            <wp:extent cx="5577840" cy="4834128"/>
            <wp:docPr id="5" name="Picture 5"/>
            <wp:cNvGraphicFramePr>
              <a:graphicFrameLocks noChangeAspect="1"/>
            </wp:cNvGraphicFramePr>
            <a:graphic>
              <a:graphicData uri="http://schemas.openxmlformats.org/drawingml/2006/picture">
                <pic:pic>
                  <pic:nvPicPr>
                    <pic:cNvPr id="0" name="figureS1_exposure_correlation.png"/>
                    <pic:cNvPicPr/>
                  </pic:nvPicPr>
                  <pic:blipFill>
                    <a:blip r:embed="rId14"/>
                    <a:stretch>
                      <a:fillRect/>
                    </a:stretch>
                  </pic:blipFill>
                  <pic:spPr>
                    <a:xfrm>
                      <a:off x="0" y="0"/>
                      <a:ext cx="5577840" cy="4834128"/>
                    </a:xfrm>
                    <a:prstGeom prst="rect"/>
                  </pic:spPr>
                </pic:pic>
              </a:graphicData>
            </a:graphic>
          </wp:inline>
        </w:drawing>
      </w:r>
    </w:p>
    <w:p>
      <w:pPr>
        <w:keepNext w:val="0"/>
        <w:spacing w:after="160" w:before="0" w:line="240" w:lineRule="auto"/>
        <w:ind w:firstLine="720"/>
        <w:jc w:val="both"/>
      </w:pPr>
      <w:r>
        <w:rPr>
          <w:rFonts w:ascii="Times New Roman" w:hAnsi="Times New Roman" w:eastAsia="Times New Roman"/>
          <w:b w:val="0"/>
          <w:i w:val="0"/>
          <w:sz w:val="21"/>
        </w:rPr>
        <w:t xml:space="preserve">Source filename </w:t>
      </w:r>
      <w:r>
        <w:rPr>
          <w:rFonts w:ascii="Times New Roman" w:hAnsi="Times New Roman" w:eastAsia="Times New Roman"/>
          <w:b w:val="0"/>
          <w:i/>
          <w:sz w:val="21"/>
        </w:rPr>
        <w:t>figureS1_exposure_correlation.png</w:t>
      </w:r>
      <w:r>
        <w:rPr>
          <w:rFonts w:ascii="Times New Roman" w:hAnsi="Times New Roman" w:eastAsia="Times New Roman"/>
          <w:b w:val="0"/>
          <w:i w:val="0"/>
          <w:sz w:val="21"/>
        </w:rPr>
        <w:t xml:space="preserve"> is retained; the live-pack display number is S4, not S1.</w:t>
      </w:r>
    </w:p>
    <w:p>
      <w:pPr>
        <w:keepNext/>
        <w:pageBreakBefore/>
        <w:spacing w:after="120" w:before="0" w:line="240" w:lineRule="auto"/>
        <w:ind w:firstLine="0"/>
        <w:jc w:val="left"/>
      </w:pPr>
      <w:r>
        <w:rPr>
          <w:rFonts w:ascii="Times New Roman" w:hAnsi="Times New Roman" w:eastAsia="Times New Roman"/>
          <w:b/>
          <w:i w:val="0"/>
          <w:sz w:val="25"/>
        </w:rPr>
        <w:t>Supplementary Table S3. Lag-0, lag-1, and lag-2 month exposures (Newey–West lag-6)</w:t>
      </w:r>
    </w:p>
    <w:p>
      <w:pPr>
        <w:keepNext w:val="0"/>
        <w:spacing w:after="160" w:before="0" w:line="240" w:lineRule="auto"/>
        <w:ind w:firstLine="720"/>
        <w:jc w:val="both"/>
      </w:pPr>
      <w:r>
        <w:rPr>
          <w:rFonts w:ascii="Times New Roman" w:hAnsi="Times New Roman" w:eastAsia="Times New Roman"/>
          <w:b w:val="0"/>
          <w:i w:val="0"/>
          <w:sz w:val="21"/>
        </w:rPr>
        <w:t xml:space="preserve">Lag-one month is a labelled sensitivity, not a daily lag curve. Source: </w:t>
      </w:r>
      <w:r>
        <w:rPr>
          <w:rFonts w:ascii="Times New Roman" w:hAnsi="Times New Roman" w:eastAsia="Times New Roman"/>
          <w:b w:val="0"/>
          <w:i/>
          <w:sz w:val="21"/>
        </w:rPr>
        <w:t>outputs/release_chd_hf/supplement/cvd_lag_sensitivity.csv</w:t>
      </w:r>
      <w:r>
        <w:rPr>
          <w:rFonts w:ascii="Times New Roman" w:hAnsi="Times New Roman" w:eastAsia="Times New Roman"/>
          <w:b w:val="0"/>
          <w:i w:val="0"/>
          <w:sz w:val="21"/>
        </w:rPr>
        <w:t>.</w:t>
      </w:r>
    </w:p>
    <w:tbl>
      <w:tblPr>
        <w:tblStyle w:val="TableGrid"/>
        <w:tblLayout w:type="fixed"/>
        <w:tblLook w:firstColumn="1" w:firstRow="1" w:lastColumn="0" w:lastRow="0" w:noHBand="0" w:noVBand="1" w:val="04A0"/>
        <w:tblW w:w="5000" w:type="pct"/>
        <w:tblLayout w:type="fixed"/>
      </w:tblPr>
      <w:tblGrid>
        <w:gridCol w:w="1756"/>
        <w:gridCol w:w="1756"/>
        <w:gridCol w:w="1756"/>
        <w:gridCol w:w="1756"/>
        <w:gridCol w:w="1756"/>
      </w:tblGrid>
      <w:tr>
        <w:trPr>
          <w:cantSplit/>
          <w:tblHeader/>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Outcome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Exposure contrast</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Lag 0</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Lag 1 month</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Lag 2 months</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temperature / 1 °C</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(0.976–1.010)</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0.999 (0.977–1.020)</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0.996 (0.973–1.019)</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maximum temperature / 1 °C</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0.993 (0.979–1.007)</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0.999 (0.981–1.018)</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0.997 (0.976–1.018)</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minimum temperature / 1 °C</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0.994 (0.977–1.012)</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0.997 (0.976–1.018)</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0.995 (0.972–1.018)</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Hot nights / 5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1.022 (1.002–1.042)</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1.010 (0.979–1.042)</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1.016 (0.987–1.045)</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Cold days / 5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0.995 (0.949–1.043)</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1.001 (0.962–1.042)</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1.026 (0.972–1.082)</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Very hot days / 5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0.999 (0.974–1.025)</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1.009 (0.991–1.028)</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1.021 (0.996–1.047)</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temperature / 1 °C</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0.974 (0.947–1.002)</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0.973 (0.953–0.992)</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0.998 (0.975–1.022)</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maximum temperature / 1 °C</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0.981 (0.958–1.005)</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0.982 (0.966–0.999)</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0.998 (0.978–1.019)</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minimum temperature / 1 °C</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0.973 (0.947–1.000)</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0.970 (0.950–0.990)</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0.997 (0.974–1.020)</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Hot nights / 5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1.003 (0.976–1.031)</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0.997 (0.964–1.031)</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1.012 (0.973–1.053)</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Cold days / 5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1.073 (1.006–1.144)</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1.073 (1.014–1.135)</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1.053 (0.985–1.127)</w:t>
            </w:r>
          </w:p>
        </w:tc>
      </w:tr>
      <w:tr>
        <w:trPr>
          <w:cantSplit/>
        </w:trPr>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Very hot days / 5 days</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0.995 (0.963–1.028)</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0.998 (0.973–1.023)</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1.018 (0.985–1.051)</w:t>
            </w:r>
          </w:p>
        </w:tc>
      </w:tr>
    </w:tbl>
    <w:p>
      <w:pPr>
        <w:keepNext/>
        <w:pageBreakBefore/>
        <w:spacing w:after="120" w:before="0" w:line="240" w:lineRule="auto"/>
        <w:ind w:firstLine="0"/>
        <w:jc w:val="left"/>
      </w:pPr>
      <w:r>
        <w:rPr>
          <w:rFonts w:ascii="Times New Roman" w:hAnsi="Times New Roman" w:eastAsia="Times New Roman"/>
          <w:b/>
          <w:i w:val="0"/>
          <w:sz w:val="25"/>
        </w:rPr>
        <w:t>Supplementary Table S4. Exclusion of the month with largest Cook’s distance (Newey–West lag-6)</w:t>
      </w:r>
    </w:p>
    <w:tbl>
      <w:tblPr>
        <w:tblStyle w:val="TableGrid"/>
        <w:tblLayout w:type="fixed"/>
        <w:tblLook w:firstColumn="1" w:firstRow="1" w:lastColumn="0" w:lastRow="0" w:noHBand="0" w:noVBand="1" w:val="04A0"/>
        <w:tblW w:w="5000" w:type="pct"/>
        <w:tblLayout w:type="fixed"/>
      </w:tblPr>
      <w:tblGrid>
        <w:gridCol w:w="2196"/>
        <w:gridCol w:w="2196"/>
        <w:gridCol w:w="2196"/>
        <w:gridCol w:w="2196"/>
      </w:tblGrid>
      <w:tr>
        <w:trPr>
          <w:cantSplit/>
          <w:tblHeader/>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Outcome</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Exposure contrast</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Count ratio after excluding max-Cook month</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Excluded month</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0.995 (0.979–1.011)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2020-02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maximum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0.994 (0.981–1.008)</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2020-02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minimum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0.996 (0.980–1.012)</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2020-02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Hot nights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1.021 (1.001–1.040)</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2020-02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Cold days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0.990 (0.948–1.034)</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2020-02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Very hot days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0.999 (0.974–1.024)</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2020-02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0.966 (0.945–0.988)</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2022-02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maximum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0.973 (0.955–0.992)</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2022-02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minimum temperature / 1 °C</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0.966 (0.945–0.988)</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2022-02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Hot nights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1.002 (0.974–1.030)</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2020-02</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Cold days / 5 days</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1.088 (1.034–1.144)</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2022-02</w:t>
            </w:r>
          </w:p>
        </w:tc>
      </w:tr>
      <w:tr>
        <w:trPr>
          <w:cantSplit/>
        </w:trPr>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Very hot days / 5 days</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0.994 (0.962–1.027)</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2020-02</w:t>
            </w:r>
          </w:p>
        </w:tc>
      </w:tr>
    </w:tbl>
    <w:p>
      <w:pPr>
        <w:keepNext w:val="0"/>
        <w:spacing w:after="160" w:before="0" w:line="240" w:lineRule="auto"/>
        <w:ind w:firstLine="720"/>
        <w:jc w:val="both"/>
      </w:pPr>
      <w:r>
        <w:rPr>
          <w:rFonts w:ascii="Times New Roman" w:hAnsi="Times New Roman" w:eastAsia="Times New Roman"/>
          <w:b w:val="0"/>
          <w:i w:val="0"/>
          <w:sz w:val="21"/>
        </w:rPr>
        <w:t xml:space="preserve">Source: </w:t>
      </w:r>
      <w:r>
        <w:rPr>
          <w:rFonts w:ascii="Times New Roman" w:hAnsi="Times New Roman" w:eastAsia="Times New Roman"/>
          <w:b w:val="0"/>
          <w:i/>
          <w:sz w:val="21"/>
        </w:rPr>
        <w:t>outputs/release_chd_hf/supplement/cvd_influence_sensitivity.csv</w:t>
      </w:r>
      <w:r>
        <w:rPr>
          <w:rFonts w:ascii="Times New Roman" w:hAnsi="Times New Roman" w:eastAsia="Times New Roman"/>
          <w:b w:val="0"/>
          <w:i w:val="0"/>
          <w:sz w:val="21"/>
        </w:rPr>
        <w:t>.</w:t>
      </w:r>
    </w:p>
    <w:p>
      <w:pPr>
        <w:keepNext/>
        <w:pageBreakBefore/>
        <w:spacing w:after="120" w:before="0" w:line="240" w:lineRule="auto"/>
        <w:ind w:firstLine="0"/>
        <w:jc w:val="left"/>
      </w:pPr>
      <w:r>
        <w:rPr>
          <w:rFonts w:ascii="Times New Roman" w:hAnsi="Times New Roman" w:eastAsia="Times New Roman"/>
          <w:b/>
          <w:i w:val="0"/>
          <w:sz w:val="25"/>
        </w:rPr>
        <w:t>Supplementary Table S5. Collinearity diagnostics after month and trend residualisation</w:t>
      </w:r>
    </w:p>
    <w:p>
      <w:pPr>
        <w:keepNext w:val="0"/>
        <w:spacing w:after="160" w:before="0" w:line="240" w:lineRule="auto"/>
        <w:ind w:firstLine="720"/>
        <w:jc w:val="both"/>
      </w:pPr>
      <w:r>
        <w:rPr>
          <w:rFonts w:ascii="Times New Roman" w:hAnsi="Times New Roman" w:eastAsia="Times New Roman"/>
          <w:b w:val="0"/>
          <w:i w:val="0"/>
          <w:sz w:val="21"/>
        </w:rPr>
        <w:t xml:space="preserve">Variance inflation factors are identical for the CHD and HF design matrices. Joint coefficients are diagnostics and not preferred estimates. Source: </w:t>
      </w:r>
      <w:r>
        <w:rPr>
          <w:rFonts w:ascii="Times New Roman" w:hAnsi="Times New Roman" w:eastAsia="Times New Roman"/>
          <w:b w:val="0"/>
          <w:i/>
          <w:sz w:val="21"/>
        </w:rPr>
        <w:t>outputs/release_chd_hf/supplement/cvd_exposure_vif.csv</w:t>
      </w:r>
      <w:r>
        <w:rPr>
          <w:rFonts w:ascii="Times New Roman" w:hAnsi="Times New Roman" w:eastAsia="Times New Roman"/>
          <w:b w:val="0"/>
          <w:i w:val="0"/>
          <w:sz w:val="21"/>
        </w:rPr>
        <w:t xml:space="preserve"> and </w:t>
      </w:r>
      <w:r>
        <w:rPr>
          <w:rFonts w:ascii="Times New Roman" w:hAnsi="Times New Roman" w:eastAsia="Times New Roman"/>
          <w:b w:val="0"/>
          <w:i/>
          <w:sz w:val="21"/>
        </w:rPr>
        <w:t>cvd_single_vs_joint_estimates.csv</w:t>
      </w:r>
      <w:r>
        <w:rPr>
          <w:rFonts w:ascii="Times New Roman" w:hAnsi="Times New Roman" w:eastAsia="Times New Roman"/>
          <w:b w:val="0"/>
          <w:i w:val="0"/>
          <w:sz w:val="21"/>
        </w:rPr>
        <w:t>.</w:t>
      </w:r>
    </w:p>
    <w:tbl>
      <w:tblPr>
        <w:tblStyle w:val="TableGrid"/>
        <w:tblLayout w:type="fixed"/>
        <w:tblLook w:firstColumn="1" w:firstRow="1" w:lastColumn="0" w:lastRow="0" w:noHBand="0" w:noVBand="1" w:val="04A0"/>
        <w:tblW w:w="5000" w:type="pct"/>
        <w:tblLayout w:type="fixed"/>
      </w:tblPr>
      <w:tblGrid>
        <w:gridCol w:w="2928"/>
        <w:gridCol w:w="2928"/>
        <w:gridCol w:w="2928"/>
      </w:tblGrid>
      <w:tr>
        <w:trPr>
          <w:cantSplit/>
          <w:tblHeader/>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Joint group</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Exposure</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VIF after month and trend</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P02_joint</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mean_tmax</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4.66</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P02_joint</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mean_tmin</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4.66</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P04_joint</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hot_nights</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1.96</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P04_joint</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cold_days</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1.00</w:t>
            </w:r>
          </w:p>
        </w:tc>
      </w:tr>
      <w:tr>
        <w:trPr>
          <w:cantSplit/>
        </w:trPr>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P04_joint</w:t>
            </w:r>
          </w:p>
        </w:tc>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very_hot_days</w:t>
            </w:r>
          </w:p>
        </w:tc>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1.96</w:t>
            </w:r>
          </w:p>
        </w:tc>
      </w:tr>
    </w:tbl>
    <w:p>
      <w:pPr>
        <w:keepNext w:val="0"/>
        <w:spacing w:after="160" w:before="0" w:line="240" w:lineRule="auto"/>
        <w:ind w:firstLine="720"/>
        <w:jc w:val="both"/>
      </w:pPr>
      <w:r>
        <w:rPr>
          <w:rFonts w:ascii="Times New Roman" w:hAnsi="Times New Roman" w:eastAsia="Times New Roman"/>
          <w:b w:val="0"/>
          <w:i w:val="0"/>
          <w:sz w:val="21"/>
        </w:rPr>
        <w:t>Joint Newey–West lag-6 estimates (diagnostics, not preferred):</w:t>
      </w:r>
    </w:p>
    <w:tbl>
      <w:tblPr>
        <w:tblStyle w:val="TableGrid"/>
        <w:tblLayout w:type="fixed"/>
        <w:tblLook w:firstColumn="1" w:firstRow="1" w:lastColumn="0" w:lastRow="0" w:noHBand="0" w:noVBand="1" w:val="04A0"/>
        <w:tblW w:w="5000" w:type="pct"/>
        <w:tblLayout w:type="fixed"/>
      </w:tblPr>
      <w:tblGrid>
        <w:gridCol w:w="2928"/>
        <w:gridCol w:w="2928"/>
        <w:gridCol w:w="2928"/>
      </w:tblGrid>
      <w:tr>
        <w:trPr>
          <w:cantSplit/>
          <w:tblHeader/>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Outcome</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Exposure in joint model</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Joint NW6 count ratio (95% CI)</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maximum temperature / 1 °C</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0.989 (0.965–1.014)</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minimum temperature / 1 °C</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1.004 (0.972–1.038)</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Hot nights / 5 days</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1.045 (1.015–1.075)</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Cold days / 5 days</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0.994 (0.948–1.042)</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Very hot days / 5 days</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0.970 (0.941–1.000)</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maximum temperature / 1 °C</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1.016 (0.981–1.052)</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Mean minimum temperature / 1 °C</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0.959 (0.916–1.004)</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Hot nights / 5 days</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1.013 (0.978–1.048)</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HF</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Cold days / 5 days</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1.073 (1.006–1.144)</w:t>
            </w:r>
          </w:p>
        </w:tc>
      </w:tr>
      <w:tr>
        <w:trPr>
          <w:cantSplit/>
        </w:trPr>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HF</w:t>
            </w:r>
          </w:p>
        </w:tc>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Very hot days / 5 days</w:t>
            </w:r>
          </w:p>
        </w:tc>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0.986 (0.946–1.028)</w:t>
            </w:r>
          </w:p>
        </w:tc>
      </w:tr>
    </w:tbl>
    <w:p>
      <w:pPr>
        <w:keepNext/>
        <w:pageBreakBefore/>
        <w:spacing w:after="120" w:before="0" w:line="240" w:lineRule="auto"/>
        <w:ind w:firstLine="0"/>
        <w:jc w:val="left"/>
      </w:pPr>
      <w:r>
        <w:rPr>
          <w:rFonts w:ascii="Times New Roman" w:hAnsi="Times New Roman" w:eastAsia="Times New Roman"/>
          <w:b/>
          <w:i w:val="0"/>
          <w:sz w:val="25"/>
        </w:rPr>
        <w:t>Supplementary Table S6. Residual diagnostics for the twelve Model 1 fits</w:t>
      </w:r>
    </w:p>
    <w:tbl>
      <w:tblPr>
        <w:tblStyle w:val="TableGrid"/>
        <w:tblLayout w:type="fixed"/>
        <w:tblLook w:firstColumn="1" w:firstRow="1" w:lastColumn="0" w:lastRow="0" w:noHBand="0" w:noVBand="1" w:val="04A0"/>
        <w:tblW w:w="5000" w:type="pct"/>
        <w:tblLayout w:type="fixed"/>
      </w:tblPr>
      <w:tblGrid>
        <w:gridCol w:w="1756"/>
        <w:gridCol w:w="1756"/>
        <w:gridCol w:w="1756"/>
        <w:gridCol w:w="1756"/>
        <w:gridCol w:w="1756"/>
      </w:tblGrid>
      <w:tr>
        <w:trPr>
          <w:cantSplit/>
          <w:tblHeader/>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Outcome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Core exposure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Pearson ACF lag 1</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Ljung–Box p, lag 6</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Ljung–Box p, lag 12</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temperature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0.534</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maximum temperature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0.533</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minimum temperature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0.532</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Hot nights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0.508</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Cold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0.528</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CHD</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Very hot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0.529</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&lt;10⁻⁷</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temperature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0.139</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0.469</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0.101</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maximum temperature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0.150</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0.397</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0.099</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Mean minimum temperature</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0.131</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0.514</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0.118</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Hot nights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0.174</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0.364</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0.154</w:t>
            </w:r>
          </w:p>
        </w:tc>
      </w:tr>
      <w:tr>
        <w:trPr>
          <w:cantSplit/>
        </w:trPr>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Cold days</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0.146</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0.356</w:t>
            </w:r>
          </w:p>
        </w:tc>
        <w:tc>
          <w:tcPr>
            <w:tcW w:type="dxa" w:w="1757"/>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0.177</w:t>
            </w:r>
          </w:p>
        </w:tc>
      </w:tr>
      <w:tr>
        <w:trPr>
          <w:cantSplit/>
        </w:trPr>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HF</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Very hot days</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0.179</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0.319</w:t>
            </w:r>
          </w:p>
        </w:tc>
        <w:tc>
          <w:tcPr>
            <w:tcW w:type="dxa" w:w="1757"/>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0.144</w:t>
            </w:r>
          </w:p>
        </w:tc>
      </w:tr>
    </w:tbl>
    <w:p>
      <w:pPr>
        <w:keepNext w:val="0"/>
        <w:spacing w:after="160" w:before="0" w:line="240" w:lineRule="auto"/>
        <w:ind w:firstLine="720"/>
        <w:jc w:val="both"/>
      </w:pPr>
      <w:r>
        <w:rPr>
          <w:rFonts w:ascii="Times New Roman" w:hAnsi="Times New Roman" w:eastAsia="Times New Roman"/>
          <w:b w:val="0"/>
          <w:i w:val="0"/>
          <w:sz w:val="21"/>
        </w:rPr>
        <w:t xml:space="preserve">Source: </w:t>
      </w:r>
      <w:r>
        <w:rPr>
          <w:rFonts w:ascii="Times New Roman" w:hAnsi="Times New Roman" w:eastAsia="Times New Roman"/>
          <w:b w:val="0"/>
          <w:i/>
          <w:sz w:val="21"/>
        </w:rPr>
        <w:t>outputs/release_chd_hf/supplement/chd_pathway_core_diagnostics.csv</w:t>
      </w:r>
      <w:r>
        <w:rPr>
          <w:rFonts w:ascii="Times New Roman" w:hAnsi="Times New Roman" w:eastAsia="Times New Roman"/>
          <w:b w:val="0"/>
          <w:i w:val="0"/>
          <w:sz w:val="21"/>
        </w:rPr>
        <w:t xml:space="preserve"> and </w:t>
      </w:r>
      <w:r>
        <w:rPr>
          <w:rFonts w:ascii="Times New Roman" w:hAnsi="Times New Roman" w:eastAsia="Times New Roman"/>
          <w:b w:val="0"/>
          <w:i/>
          <w:sz w:val="21"/>
        </w:rPr>
        <w:t>hf_pathway_core_diagnostics.csv</w:t>
      </w:r>
      <w:r>
        <w:rPr>
          <w:rFonts w:ascii="Times New Roman" w:hAnsi="Times New Roman" w:eastAsia="Times New Roman"/>
          <w:b w:val="0"/>
          <w:i w:val="0"/>
          <w:sz w:val="21"/>
        </w:rPr>
        <w:t xml:space="preserve"> (days-in-month offset Model 1 pathways).</w:t>
      </w:r>
    </w:p>
    <w:p>
      <w:pPr>
        <w:keepNext/>
        <w:pageBreakBefore/>
        <w:spacing w:after="120" w:before="0" w:line="240" w:lineRule="auto"/>
        <w:ind w:firstLine="0"/>
        <w:jc w:val="left"/>
      </w:pPr>
      <w:r>
        <w:rPr>
          <w:rFonts w:ascii="Times New Roman" w:hAnsi="Times New Roman" w:eastAsia="Times New Roman"/>
          <w:b/>
          <w:i w:val="0"/>
          <w:sz w:val="25"/>
        </w:rPr>
        <w:t>Supplementary Table S7. Archive influenza co-exposure (pathway P14; 121 months)</w:t>
      </w:r>
    </w:p>
    <w:p>
      <w:pPr>
        <w:keepNext w:val="0"/>
        <w:spacing w:after="160" w:before="0" w:line="240" w:lineRule="auto"/>
        <w:ind w:firstLine="720"/>
        <w:jc w:val="both"/>
      </w:pPr>
      <w:r>
        <w:rPr>
          <w:rFonts w:ascii="Times New Roman" w:hAnsi="Times New Roman" w:eastAsia="Times New Roman"/>
          <w:b w:val="0"/>
          <w:i w:val="0"/>
          <w:sz w:val="21"/>
        </w:rPr>
        <w:t>Missing influenza months were not zero-filled. This model uses a general-population × days offset and is not an adjusted version of Model 1.</w:t>
      </w:r>
    </w:p>
    <w:tbl>
      <w:tblPr>
        <w:tblStyle w:val="TableGrid"/>
        <w:tblLayout w:type="fixed"/>
        <w:tblLook w:firstColumn="1" w:firstRow="1" w:lastColumn="0" w:lastRow="0" w:noHBand="0" w:noVBand="1" w:val="04A0"/>
        <w:tblW w:w="5000" w:type="pct"/>
        <w:tblLayout w:type="fixed"/>
      </w:tblPr>
      <w:tblGrid>
        <w:gridCol w:w="2196"/>
        <w:gridCol w:w="2196"/>
        <w:gridCol w:w="2196"/>
        <w:gridCol w:w="2196"/>
      </w:tblGrid>
      <w:tr>
        <w:trPr>
          <w:cantSplit/>
          <w:tblHeader/>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Outcome</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Term</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Count ratio (95% CI)</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Months</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CHD</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Influenza indicator</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1.673 (1.249–2.243)</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121</w:t>
            </w:r>
          </w:p>
        </w:tc>
      </w:tr>
      <w:tr>
        <w:trPr>
          <w:cantSplit/>
        </w:trPr>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HF</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Influenza indicator</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1.407 (0.958–2.067)</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121</w:t>
            </w:r>
          </w:p>
        </w:tc>
      </w:tr>
    </w:tbl>
    <w:p>
      <w:pPr>
        <w:keepNext w:val="0"/>
        <w:spacing w:after="160" w:before="0" w:line="240" w:lineRule="auto"/>
        <w:ind w:firstLine="720"/>
        <w:jc w:val="both"/>
      </w:pPr>
      <w:r>
        <w:rPr>
          <w:rFonts w:ascii="Times New Roman" w:hAnsi="Times New Roman" w:eastAsia="Times New Roman"/>
          <w:b w:val="0"/>
          <w:i w:val="0"/>
          <w:sz w:val="21"/>
        </w:rPr>
        <w:t xml:space="preserve">Source: </w:t>
      </w:r>
      <w:r>
        <w:rPr>
          <w:rFonts w:ascii="Times New Roman" w:hAnsi="Times New Roman" w:eastAsia="Times New Roman"/>
          <w:b w:val="0"/>
          <w:i/>
          <w:sz w:val="21"/>
        </w:rPr>
        <w:t>outputs/release_chd_hf/supplement/combined_pathway_panel_estimates.csv</w:t>
      </w:r>
      <w:r>
        <w:rPr>
          <w:rFonts w:ascii="Times New Roman" w:hAnsi="Times New Roman" w:eastAsia="Times New Roman"/>
          <w:b w:val="0"/>
          <w:i w:val="0"/>
          <w:sz w:val="21"/>
        </w:rPr>
        <w:t xml:space="preserve">, P14 </w:t>
      </w:r>
      <w:r>
        <w:rPr>
          <w:rFonts w:ascii="Times New Roman" w:hAnsi="Times New Roman" w:eastAsia="Times New Roman"/>
          <w:b w:val="0"/>
          <w:i/>
          <w:sz w:val="21"/>
        </w:rPr>
        <w:t>flu_indicator</w:t>
      </w:r>
      <w:r>
        <w:rPr>
          <w:rFonts w:ascii="Times New Roman" w:hAnsi="Times New Roman" w:eastAsia="Times New Roman"/>
          <w:b w:val="0"/>
          <w:i w:val="0"/>
          <w:sz w:val="21"/>
        </w:rPr>
        <w:t xml:space="preserve"> rows.</w:t>
      </w:r>
    </w:p>
    <w:p>
      <w:pPr>
        <w:keepNext/>
        <w:pageBreakBefore/>
        <w:spacing w:after="120" w:before="0" w:line="240" w:lineRule="auto"/>
        <w:ind w:firstLine="0"/>
        <w:jc w:val="left"/>
      </w:pPr>
      <w:r>
        <w:rPr>
          <w:rFonts w:ascii="Times New Roman" w:hAnsi="Times New Roman" w:eastAsia="Times New Roman"/>
          <w:b/>
          <w:i w:val="0"/>
          <w:sz w:val="25"/>
        </w:rPr>
        <w:t>Supplementary Table S8. Daily-recovery calibration gates (methods validation, not a health finding)</w:t>
      </w:r>
    </w:p>
    <w:p>
      <w:pPr>
        <w:keepNext w:val="0"/>
        <w:spacing w:after="160" w:before="0" w:line="240" w:lineRule="auto"/>
        <w:ind w:firstLine="720"/>
        <w:jc w:val="both"/>
      </w:pPr>
      <w:r>
        <w:rPr>
          <w:rFonts w:ascii="Times New Roman" w:hAnsi="Times New Roman" w:eastAsia="Times New Roman"/>
          <w:b w:val="0"/>
          <w:i w:val="0"/>
          <w:sz w:val="21"/>
        </w:rPr>
        <w:t>Source: synthetic calibration (</w:t>
      </w:r>
      <w:r>
        <w:rPr>
          <w:rFonts w:ascii="Times New Roman" w:hAnsi="Times New Roman" w:eastAsia="Times New Roman"/>
          <w:b w:val="0"/>
          <w:i/>
          <w:sz w:val="21"/>
        </w:rPr>
        <w:t>SYNTHETIC_CALIBRATION</w:t>
      </w:r>
      <w:r>
        <w:rPr>
          <w:rFonts w:ascii="Times New Roman" w:hAnsi="Times New Roman" w:eastAsia="Times New Roman"/>
          <w:b w:val="0"/>
          <w:i w:val="0"/>
          <w:sz w:val="21"/>
        </w:rPr>
        <w:t>); methods validation, not a CHD/HF health finding. No real daily coefficient is admitted. This table does not establish a general failure of recovering daily effects from aggregated outcomes.</w:t>
      </w:r>
    </w:p>
    <w:tbl>
      <w:tblPr>
        <w:tblStyle w:val="TableGrid"/>
        <w:tblLayout w:type="fixed"/>
        <w:tblLook w:firstColumn="1" w:firstRow="1" w:lastColumn="0" w:lastRow="0" w:noHBand="0" w:noVBand="1" w:val="04A0"/>
        <w:tblW w:w="5000" w:type="pct"/>
        <w:tblLayout w:type="fixed"/>
      </w:tblPr>
      <w:tblGrid>
        <w:gridCol w:w="2928"/>
        <w:gridCol w:w="2928"/>
        <w:gridCol w:w="2928"/>
      </w:tblGrid>
      <w:tr>
        <w:trPr>
          <w:cantSplit/>
          <w:tblHeader/>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Gate</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Observed (methods validation)</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Result</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convergence_min</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min_core_convergence=1.0000 (need &gt;=0.95)</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passed</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type1_range</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null_type1 min=0.0480 max=0.1500 (need [0.03, 0.08])</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failed</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coverage_min</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min_core_coverage=0.8400 (need &gt;=0.90)</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failed</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relative_bias_max</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max_nonnull_abs_rel_bias=32.7742 (need &lt;=0.20)</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failed</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false_sign_max</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max_moderate_false_sign=0.8080 (need &lt;=0.10)</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failed</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hessian_condition_max</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max_core_hessian_cond_median=1.82e+03 (need &lt;1e+08)</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passed</w:t>
            </w:r>
          </w:p>
        </w:tc>
      </w:tr>
      <w:tr>
        <w:trPr>
          <w:cantSplit/>
        </w:trPr>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divergent_fit_max</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max_core_divergent_rate=0.0000 (need &lt;0.05)</w:t>
            </w:r>
          </w:p>
        </w:tc>
        <w:tc>
          <w:tcPr>
            <w:tcW w:type="dxa" w:w="2928"/>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passed</w:t>
            </w:r>
          </w:p>
        </w:tc>
      </w:tr>
      <w:tr>
        <w:trPr>
          <w:cantSplit/>
        </w:trPr>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stress_coverage_min</w:t>
            </w:r>
          </w:p>
        </w:tc>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min_stress_coverage=0.8420 (need &gt;=0.85</w:t>
            </w:r>
          </w:p>
        </w:tc>
        <w:tc>
          <w:tcPr>
            <w:tcW w:type="dxa" w:w="2928"/>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failed</w:t>
            </w:r>
          </w:p>
        </w:tc>
      </w:tr>
    </w:tbl>
    <w:p>
      <w:pPr>
        <w:keepNext w:val="0"/>
        <w:spacing w:after="160" w:before="0" w:line="240" w:lineRule="auto"/>
        <w:ind w:firstLine="720"/>
        <w:jc w:val="both"/>
      </w:pPr>
      <w:r>
        <w:rPr>
          <w:rFonts w:ascii="Times New Roman" w:hAnsi="Times New Roman" w:eastAsia="Times New Roman"/>
          <w:b w:val="0"/>
          <w:i w:val="0"/>
          <w:sz w:val="21"/>
        </w:rPr>
        <w:t xml:space="preserve">Source: </w:t>
      </w:r>
      <w:r>
        <w:rPr>
          <w:rFonts w:ascii="Times New Roman" w:hAnsi="Times New Roman" w:eastAsia="Times New Roman"/>
          <w:b w:val="0"/>
          <w:i/>
          <w:sz w:val="21"/>
        </w:rPr>
        <w:t>outputs/release_chd_hf/supplement/methods_feasibility/md_calibration_gate_summary.csv</w:t>
      </w:r>
      <w:r>
        <w:rPr>
          <w:rFonts w:ascii="Times New Roman" w:hAnsi="Times New Roman" w:eastAsia="Times New Roman"/>
          <w:b w:val="0"/>
          <w:i w:val="0"/>
          <w:sz w:val="21"/>
        </w:rPr>
        <w:t>.</w:t>
      </w:r>
    </w:p>
    <w:p>
      <w:pPr>
        <w:keepNext/>
        <w:pageBreakBefore/>
        <w:spacing w:after="120" w:before="0" w:line="240" w:lineRule="auto"/>
        <w:ind w:firstLine="0"/>
        <w:jc w:val="left"/>
      </w:pPr>
      <w:r>
        <w:rPr>
          <w:rFonts w:ascii="Times New Roman" w:hAnsi="Times New Roman" w:eastAsia="Times New Roman"/>
          <w:b/>
          <w:i w:val="0"/>
          <w:sz w:val="25"/>
        </w:rPr>
        <w:t>Supplementary Table S9. Archive pollution-staged models (pathway P11; joint mean Tmax and Tmin)</w:t>
      </w:r>
    </w:p>
    <w:p>
      <w:pPr>
        <w:keepNext w:val="0"/>
        <w:spacing w:after="160" w:before="0" w:line="240" w:lineRule="auto"/>
        <w:ind w:firstLine="720"/>
        <w:jc w:val="both"/>
      </w:pPr>
      <w:r>
        <w:rPr>
          <w:rFonts w:ascii="Times New Roman" w:hAnsi="Times New Roman" w:eastAsia="Times New Roman"/>
          <w:b w:val="0"/>
          <w:i w:val="0"/>
          <w:sz w:val="21"/>
        </w:rPr>
        <w:t>Count ratios are for a 1 °C temperature contrast or a 1 µg m</w:t>
      </w:r>
      <w:r>
        <w:rPr>
          <w:rFonts w:ascii="Times New Roman" w:hAnsi="Times New Roman" w:eastAsia="Times New Roman"/>
          <w:b w:val="0"/>
          <w:i w:val="0"/>
          <w:sz w:val="21"/>
          <w:vertAlign w:val="superscript"/>
        </w:rPr>
        <w:t>−3</w:t>
      </w:r>
      <w:r>
        <w:rPr>
          <w:rFonts w:ascii="Times New Roman" w:hAnsi="Times New Roman" w:eastAsia="Times New Roman"/>
          <w:b w:val="0"/>
          <w:i w:val="0"/>
          <w:sz w:val="21"/>
        </w:rPr>
        <w:t xml:space="preserve"> pollutant contrast. Stages: none, NO₂, PM2.5, ozone, and all three (</w:t>
      </w:r>
      <w:r>
        <w:rPr>
          <w:rFonts w:ascii="Times New Roman" w:hAnsi="Times New Roman" w:eastAsia="Times New Roman"/>
          <w:b w:val="0"/>
          <w:i/>
          <w:sz w:val="21"/>
        </w:rPr>
        <w:t>multi</w:t>
      </w:r>
      <w:r>
        <w:rPr>
          <w:rFonts w:ascii="Times New Roman" w:hAnsi="Times New Roman" w:eastAsia="Times New Roman"/>
          <w:b w:val="0"/>
          <w:i w:val="0"/>
          <w:sz w:val="21"/>
        </w:rPr>
        <w:t>). Offset is general-population × days. On a monthly grain these models cannot separate ozone confounding from mediation. No staged estimate was used to revise Table 2.</w:t>
      </w:r>
    </w:p>
    <w:p>
      <w:pPr>
        <w:keepNext w:val="0"/>
        <w:spacing w:after="160" w:before="0" w:line="240" w:lineRule="auto"/>
        <w:ind w:firstLine="720"/>
        <w:jc w:val="both"/>
      </w:pPr>
      <w:r>
        <w:rPr>
          <w:rFonts w:ascii="Times New Roman" w:hAnsi="Times New Roman" w:eastAsia="Times New Roman"/>
          <w:b w:val="0"/>
          <w:i/>
          <w:sz w:val="21"/>
        </w:rPr>
        <w:t>CHD</w:t>
      </w:r>
    </w:p>
    <w:tbl>
      <w:tblPr>
        <w:tblStyle w:val="TableGrid"/>
        <w:tblLayout w:type="fixed"/>
        <w:tblLook w:firstColumn="1" w:firstRow="1" w:lastColumn="0" w:lastRow="0" w:noHBand="0" w:noVBand="1" w:val="04A0"/>
        <w:tblW w:w="5000" w:type="pct"/>
        <w:tblLayout w:type="fixed"/>
      </w:tblPr>
      <w:tblGrid>
        <w:gridCol w:w="2196"/>
        <w:gridCol w:w="2196"/>
        <w:gridCol w:w="2196"/>
        <w:gridCol w:w="2196"/>
      </w:tblGrid>
      <w:tr>
        <w:trPr>
          <w:cantSplit/>
          <w:tblHeader/>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Stage</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Mean Tmax</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Mean Tmin</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Pollutant term</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none</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0.990 (0.960–1.021)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1.003 (0.970–1.038)</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NO₂</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0.975 (0.947–1.003)</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1.026 (0.992–1.061)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NO₂ 1.007 (1.004–1.011)</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PM2.5</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0.987 (0.958–1.018)</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1.009 (0.974–1.045)</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PM2.5 1.002 (1.000–1.005)</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O₃</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0.989 (0.958–1.021)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1.004 (0.969–1.041)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O₃ 1.000 (0.999–1.001)</w:t>
            </w:r>
          </w:p>
        </w:tc>
      </w:tr>
      <w:tr>
        <w:trPr>
          <w:cantSplit/>
        </w:trPr>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multi</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0.973 (0.945–1.003)</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1.025 (0.992–1.060)</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NO₂ 1.011 (1.006–1.016); PM2.5 0.996 (0.992–1.000); O₃ 1.000 (0.998–1.001)</w:t>
            </w:r>
          </w:p>
        </w:tc>
      </w:tr>
    </w:tbl>
    <w:p>
      <w:pPr>
        <w:keepNext w:val="0"/>
        <w:spacing w:after="160" w:before="0" w:line="240" w:lineRule="auto"/>
        <w:ind w:firstLine="720"/>
        <w:jc w:val="both"/>
      </w:pPr>
      <w:r>
        <w:rPr>
          <w:rFonts w:ascii="Times New Roman" w:hAnsi="Times New Roman" w:eastAsia="Times New Roman"/>
          <w:b w:val="0"/>
          <w:i/>
          <w:sz w:val="21"/>
        </w:rPr>
        <w:t>HF</w:t>
      </w:r>
    </w:p>
    <w:tbl>
      <w:tblPr>
        <w:tblStyle w:val="TableGrid"/>
        <w:tblLayout w:type="fixed"/>
        <w:tblLook w:firstColumn="1" w:firstRow="1" w:lastColumn="0" w:lastRow="0" w:noHBand="0" w:noVBand="1" w:val="04A0"/>
        <w:tblW w:w="5000" w:type="pct"/>
        <w:tblLayout w:type="fixed"/>
      </w:tblPr>
      <w:tblGrid>
        <w:gridCol w:w="2196"/>
        <w:gridCol w:w="2196"/>
        <w:gridCol w:w="2196"/>
        <w:gridCol w:w="2196"/>
      </w:tblGrid>
      <w:tr>
        <w:trPr>
          <w:cantSplit/>
          <w:tblHeader/>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Stage</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Mean Tmax</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Mean Tmin</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7"/>
              </w:rPr>
              <w:t>Pollutant term</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none</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1.016 (0.975–1.059)</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0.958 (0.919–0.998)</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NO₂</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0.994 (0.959–1.029)</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0.988 (0.951–1.025)</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NO₂ 1.010 (1.006–1.014)</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PM2.5</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1.009 (0.972–1.047)</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0.972 (0.934–1.011)</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PM2.5 1.006 (1.002–1.009)</w:t>
            </w:r>
          </w:p>
        </w:tc>
      </w:tr>
      <w:tr>
        <w:trPr>
          <w:cantSplit/>
        </w:trPr>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O₃</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1.011 (0.971–1.052)</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0.964 (0.925–1.004)</w:t>
            </w:r>
          </w:p>
        </w:tc>
        <w:tc>
          <w:tcPr>
            <w:tcW w:type="dxa" w:w="2196"/>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7"/>
              </w:rPr>
              <w:t>O₃ 1.001 (0.999–1.003)</w:t>
            </w:r>
          </w:p>
        </w:tc>
      </w:tr>
      <w:tr>
        <w:trPr>
          <w:cantSplit/>
        </w:trPr>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multi</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0.995 (0.959–1.033)</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0.986 (0.949–1.024)</w:t>
            </w:r>
          </w:p>
        </w:tc>
        <w:tc>
          <w:tcPr>
            <w:tcW w:type="dxa" w:w="2196"/>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7"/>
              </w:rPr>
              <w:t>NO₂ 1.010 (1.004–1.016); PM2.5 1.000 (0.995–1.006); O₃ 1.000 (0.997–1.002)</w:t>
            </w:r>
          </w:p>
        </w:tc>
      </w:tr>
    </w:tbl>
    <w:p>
      <w:pPr>
        <w:keepNext w:val="0"/>
        <w:spacing w:after="160" w:before="0" w:line="240" w:lineRule="auto"/>
        <w:ind w:firstLine="720"/>
        <w:jc w:val="both"/>
      </w:pPr>
      <w:r>
        <w:rPr>
          <w:rFonts w:ascii="Times New Roman" w:hAnsi="Times New Roman" w:eastAsia="Times New Roman"/>
          <w:b w:val="0"/>
          <w:i w:val="0"/>
          <w:sz w:val="21"/>
        </w:rPr>
        <w:t xml:space="preserve">Nitrogen dioxide retains a positive coefficient in the CHD and HF archive fits. That is a co-predictor fact, not a thermal finding. Source: </w:t>
      </w:r>
      <w:r>
        <w:rPr>
          <w:rFonts w:ascii="Times New Roman" w:hAnsi="Times New Roman" w:eastAsia="Times New Roman"/>
          <w:b w:val="0"/>
          <w:i/>
          <w:sz w:val="21"/>
        </w:rPr>
        <w:t>outputs/release_chd_hf/supplement/combined_pathway_panel_estimates.csv</w:t>
      </w:r>
      <w:r>
        <w:rPr>
          <w:rFonts w:ascii="Times New Roman" w:hAnsi="Times New Roman" w:eastAsia="Times New Roman"/>
          <w:b w:val="0"/>
          <w:i w:val="0"/>
          <w:sz w:val="21"/>
        </w:rPr>
        <w:t>, P11 rows.</w:t>
      </w:r>
    </w:p>
    <w:p>
      <w:pPr>
        <w:keepNext/>
        <w:pageBreakBefore/>
        <w:spacing w:after="120" w:before="0" w:line="240" w:lineRule="auto"/>
        <w:ind w:firstLine="0"/>
        <w:jc w:val="left"/>
      </w:pPr>
      <w:r>
        <w:rPr>
          <w:rFonts w:ascii="Times New Roman" w:hAnsi="Times New Roman" w:eastAsia="Times New Roman"/>
          <w:b/>
          <w:i w:val="0"/>
          <w:sz w:val="25"/>
        </w:rPr>
        <w:t>Supplementary Table S10. Weather summaries by analysis period</w:t>
      </w:r>
    </w:p>
    <w:p>
      <w:pPr>
        <w:keepNext w:val="0"/>
        <w:spacing w:after="160" w:before="0" w:line="240" w:lineRule="auto"/>
        <w:ind w:firstLine="720"/>
        <w:jc w:val="both"/>
      </w:pPr>
      <w:r>
        <w:rPr>
          <w:rFonts w:ascii="Times New Roman" w:hAnsi="Times New Roman" w:eastAsia="Times New Roman"/>
          <w:b w:val="0"/>
          <w:i w:val="0"/>
          <w:sz w:val="21"/>
        </w:rPr>
        <w:t>These are exposure summaries, not health effects. Pre-2020 is January 2013–December 2019. The pandemic-era row is January 2020–December 2022. The 2023 row is shown separately because reopening is not the same object as the earlier pandemic period.</w:t>
      </w:r>
    </w:p>
    <w:tbl>
      <w:tblPr>
        <w:tblStyle w:val="TableGrid"/>
        <w:tblLayout w:type="fixed"/>
        <w:tblLook w:firstColumn="1" w:firstRow="1" w:lastColumn="0" w:lastRow="0" w:noHBand="0" w:noVBand="1" w:val="04A0"/>
        <w:tblW w:w="5000" w:type="pct"/>
        <w:tblLayout w:type="fixed"/>
      </w:tblPr>
      <w:tblGrid>
        <w:gridCol w:w="1464"/>
        <w:gridCol w:w="1464"/>
        <w:gridCol w:w="1464"/>
        <w:gridCol w:w="1464"/>
        <w:gridCol w:w="1464"/>
        <w:gridCol w:w="1464"/>
      </w:tblGrid>
      <w:tr>
        <w:trPr>
          <w:cantSplit/>
          <w:tblHeader/>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Period</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Months</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Mean temperature, °C</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Hot nights / month</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Very hot days / month</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i w:val="0"/>
                <w:sz w:val="15"/>
              </w:rPr>
              <w:t>Cold days / month</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2013–2019</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84</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23.83</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2.74</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2.55</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1.12</w:t>
            </w:r>
          </w:p>
        </w:tc>
      </w:tr>
      <w:tr>
        <w:trPr>
          <w:cantSplit/>
        </w:trPr>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2020–2022</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36</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24.30</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4.53</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4.25</w:t>
            </w:r>
          </w:p>
        </w:tc>
        <w:tc>
          <w:tcPr>
            <w:tcW w:type="dxa" w:w="1464"/>
            <w:tcMar>
              <w:top w:w="40" w:type="dxa"/>
              <w:left w:w="55" w:type="dxa"/>
              <w:bottom w:w="40" w:type="dxa"/>
              <w:right w:w="55" w:type="dxa"/>
            </w:tcMar>
          </w:tcPr>
          <w:p>
            <w:pPr>
              <w:keepNext/>
              <w:keepLines/>
              <w:spacing w:after="20" w:before="20" w:line="240" w:lineRule="auto"/>
              <w:ind w:firstLine="0"/>
              <w:jc w:val="left"/>
            </w:pPr>
            <w:r/>
            <w:r>
              <w:rPr>
                <w:rFonts w:ascii="Times New Roman" w:hAnsi="Times New Roman" w:eastAsia="Times New Roman"/>
                <w:b w:val="0"/>
                <w:i w:val="0"/>
                <w:sz w:val="15"/>
              </w:rPr>
              <w:t>1.03</w:t>
            </w:r>
          </w:p>
        </w:tc>
      </w:tr>
      <w:tr>
        <w:trPr>
          <w:cantSplit/>
        </w:trPr>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2023</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12</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24.50</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4.67</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4.50</w:t>
            </w:r>
          </w:p>
        </w:tc>
        <w:tc>
          <w:tcPr>
            <w:tcW w:type="dxa" w:w="1464"/>
            <w:tcMar>
              <w:top w:w="40" w:type="dxa"/>
              <w:left w:w="55" w:type="dxa"/>
              <w:bottom w:w="40" w:type="dxa"/>
              <w:right w:w="55" w:type="dxa"/>
            </w:tcMar>
          </w:tcPr>
          <w:p>
            <w:pPr>
              <w:keepLines/>
              <w:spacing w:after="20" w:before="20" w:line="240" w:lineRule="auto"/>
              <w:ind w:firstLine="0"/>
              <w:jc w:val="left"/>
            </w:pPr>
            <w:r/>
            <w:r>
              <w:rPr>
                <w:rFonts w:ascii="Times New Roman" w:hAnsi="Times New Roman" w:eastAsia="Times New Roman"/>
                <w:b w:val="0"/>
                <w:i w:val="0"/>
                <w:sz w:val="15"/>
              </w:rPr>
              <w:t>1.17</w:t>
            </w:r>
          </w:p>
        </w:tc>
      </w:tr>
    </w:tbl>
    <w:p>
      <w:pPr>
        <w:keepNext w:val="0"/>
        <w:spacing w:after="160" w:before="0" w:line="240" w:lineRule="auto"/>
        <w:ind w:firstLine="720"/>
        <w:jc w:val="both"/>
      </w:pPr>
      <w:r>
        <w:rPr>
          <w:rFonts w:ascii="Times New Roman" w:hAnsi="Times New Roman" w:eastAsia="Times New Roman"/>
          <w:b w:val="0"/>
          <w:i w:val="0"/>
          <w:sz w:val="21"/>
        </w:rPr>
        <w:t xml:space="preserve">Source: HKO Headquarters monthly series in </w:t>
      </w:r>
      <w:r>
        <w:rPr>
          <w:rFonts w:ascii="Times New Roman" w:hAnsi="Times New Roman" w:eastAsia="Times New Roman"/>
          <w:b w:val="0"/>
          <w:i/>
          <w:sz w:val="21"/>
        </w:rPr>
        <w:t>outputs/share_for_roro/temperature_monthly_panel_2013_2023.csv</w:t>
      </w:r>
      <w:r>
        <w:rPr>
          <w:rFonts w:ascii="Times New Roman" w:hAnsi="Times New Roman" w:eastAsia="Times New Roman"/>
          <w:b w:val="0"/>
          <w:i w:val="0"/>
          <w:sz w:val="21"/>
        </w:rPr>
        <w:t xml:space="preserve"> (</w:t>
      </w:r>
      <w:r>
        <w:rPr>
          <w:rFonts w:ascii="Times New Roman" w:hAnsi="Times New Roman" w:eastAsia="Times New Roman"/>
          <w:b w:val="0"/>
          <w:i/>
          <w:sz w:val="21"/>
        </w:rPr>
        <w:t>REAL</w:t>
      </w:r>
      <w:r>
        <w:rPr>
          <w:rFonts w:ascii="Times New Roman" w:hAnsi="Times New Roman" w:eastAsia="Times New Roman"/>
          <w:b w:val="0"/>
          <w:i w:val="0"/>
          <w:sz w:val="21"/>
        </w:rPr>
        <w:t xml:space="preserve">). The same summaries are cross-checked in </w:t>
      </w:r>
      <w:r>
        <w:rPr>
          <w:rFonts w:ascii="Times New Roman" w:hAnsi="Times New Roman" w:eastAsia="Times New Roman"/>
          <w:b w:val="0"/>
          <w:i/>
          <w:sz w:val="21"/>
        </w:rPr>
        <w:t>outputs/tables/cvd_descriptive_covid_era_means.csv</w:t>
      </w:r>
      <w:r>
        <w:rPr>
          <w:rFonts w:ascii="Times New Roman" w:hAnsi="Times New Roman" w:eastAsia="Times New Roman"/>
          <w:b w:val="0"/>
          <w:i w:val="0"/>
          <w:sz w:val="21"/>
        </w:rPr>
        <w:t>. Later years were hotter; official cold-day frequency was similar rather than absent.</w:t>
      </w:r>
    </w:p>
    <w:p>
      <w:pPr>
        <w:keepNext/>
        <w:pageBreakBefore/>
        <w:spacing w:after="120" w:before="0" w:line="240" w:lineRule="auto"/>
        <w:ind w:firstLine="0"/>
        <w:jc w:val="left"/>
      </w:pPr>
      <w:r>
        <w:rPr>
          <w:rFonts w:ascii="Times New Roman" w:hAnsi="Times New Roman" w:eastAsia="Times New Roman"/>
          <w:b/>
          <w:i w:val="0"/>
          <w:sz w:val="25"/>
        </w:rPr>
        <w:t>Supplementary Note S1. Thermal and mechanistic context</w:t>
      </w:r>
    </w:p>
    <w:p>
      <w:pPr>
        <w:keepNext w:val="0"/>
        <w:spacing w:after="160" w:before="0" w:line="240" w:lineRule="auto"/>
        <w:ind w:firstLine="720"/>
        <w:jc w:val="both"/>
      </w:pPr>
      <w:r>
        <w:rPr>
          <w:rFonts w:ascii="Times New Roman" w:hAnsi="Times New Roman" w:eastAsia="Times New Roman"/>
          <w:b w:val="0"/>
          <w:i w:val="0"/>
          <w:sz w:val="21"/>
        </w:rPr>
        <w:t>Earlier Hong Kong studies used daily, cause-coded or unplanned admissions. Goggins et al. reported a cold association for acute myocardial infarction [1]. Goggins and Chan reported a cumulative heart-failure admission contrast for 11 °C versus 25 °C over daily lags [21]. Guo et al. distinguished the official hot-night flag from hourly nighttime excess heat [17]. None of those estimands transfers to monthly counts of first hospitalisation after a first diagnosis.</w:t>
      </w:r>
    </w:p>
    <w:p>
      <w:pPr>
        <w:keepNext w:val="0"/>
        <w:spacing w:after="160" w:before="0" w:line="240" w:lineRule="auto"/>
        <w:ind w:firstLine="720"/>
        <w:jc w:val="both"/>
      </w:pPr>
      <w:r>
        <w:rPr>
          <w:rFonts w:ascii="Times New Roman" w:hAnsi="Times New Roman" w:eastAsia="Times New Roman"/>
          <w:b w:val="0"/>
          <w:i w:val="0"/>
          <w:sz w:val="21"/>
        </w:rPr>
        <w:t>Hong Kong mortality studies are complementary rather than interchangeable. Liu et al. reported temperature-attributable mortality fractions [12]. Liu et al. later modelled heatwave-associated excess deaths [13]. Neither quantity can be rescaled into the count ratios in the main manuscript.</w:t>
      </w:r>
    </w:p>
    <w:p>
      <w:pPr>
        <w:keepNext w:val="0"/>
        <w:spacing w:after="160" w:before="0" w:line="240" w:lineRule="auto"/>
        <w:ind w:firstLine="720"/>
        <w:jc w:val="both"/>
      </w:pPr>
      <w:r>
        <w:rPr>
          <w:rFonts w:ascii="Times New Roman" w:hAnsi="Times New Roman" w:eastAsia="Times New Roman"/>
          <w:b w:val="0"/>
          <w:i w:val="0"/>
          <w:sz w:val="21"/>
        </w:rPr>
        <w:t>Sleep, nighttime core temperature, heart-rate variability, cold afterload, and heat-health action plans were reviewed in the thermal manuscript [23–33]. Those sources remain hypotheses or policy context. The monthly series measures none of those mechanisms and does not evaluate Hong Kong’s warnings. The HKO yearbooks for 2013, 2017, 2021, and 2024 remain in the reference block [2–5]; the 2024 yearbook is outside the analysis window and is not used in an estimate.</w:t>
      </w:r>
    </w:p>
    <w:p>
      <w:pPr>
        <w:keepNext/>
        <w:pageBreakBefore/>
        <w:spacing w:after="120" w:before="0" w:line="240" w:lineRule="auto"/>
        <w:ind w:firstLine="0"/>
        <w:jc w:val="left"/>
      </w:pPr>
      <w:r>
        <w:rPr>
          <w:rFonts w:ascii="Times New Roman" w:hAnsi="Times New Roman" w:eastAsia="Times New Roman"/>
          <w:b/>
          <w:i w:val="0"/>
          <w:sz w:val="25"/>
        </w:rPr>
        <w:t>Scope of this supplement</w:t>
      </w:r>
    </w:p>
    <w:p>
      <w:pPr>
        <w:keepNext w:val="0"/>
        <w:spacing w:after="160" w:before="0" w:line="240" w:lineRule="auto"/>
        <w:ind w:firstLine="720"/>
        <w:jc w:val="both"/>
      </w:pPr>
      <w:r>
        <w:rPr>
          <w:rFonts w:ascii="Times New Roman" w:hAnsi="Times New Roman" w:eastAsia="Times New Roman"/>
          <w:b w:val="0"/>
          <w:i w:val="0"/>
          <w:sz w:val="21"/>
        </w:rPr>
        <w:t>This supplement does not contain stroke results, principal-diagnosis or AMI claims from this extract, cohort incidence, a real daily-recovery coefficient, a confounding-adjusted version of Model 1, or a health-economic result. Provisional hot-month and cold-month estimates are ineligible as a primary claim.</w:t>
      </w:r>
    </w:p>
    <w:sectPr w:rsidR="00FC693F" w:rsidRPr="0006063C" w:rsidSect="00034616">
      <w:head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left"/>
      <w:tabs>
        <w:tab w:val="right" w:pos="9360"/>
      </w:tabs>
    </w:pPr>
    <w:r>
      <w:rPr>
        <w:rFonts w:ascii="Times New Roman" w:hAnsi="Times New Roman" w:eastAsia="Times New Roman"/>
        <w:b w:val="0"/>
        <w:i/>
        <w:color w:val="555555"/>
        <w:sz w:val="20"/>
      </w:rPr>
      <w:t>Supplementary information | Window sensitivity of first CHD/HF hospitalisation</w:t>
    </w:r>
    <w:r>
      <w:rPr>
        <w:rFonts w:ascii="Times New Roman" w:hAnsi="Times New Roman" w:eastAsia="Times New Roman"/>
        <w:b w:val="0"/>
        <w:i w:val="0"/>
        <w:sz w:val="20"/>
      </w:rPr>
      <w:tab/>
    </w:r>
    <w:r>
      <w:rPr>
        <w:rFonts w:ascii="Times New Roman" w:hAnsi="Times New Roman" w:eastAsia="Times New Roman"/>
        <w:b w:val="0"/>
        <w:i/>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