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0"/>
      </w:pPr>
      <w:r>
        <w:rPr>
          <w:rFonts w:ascii="Times New Roman" w:hAnsi="Times New Roman" w:eastAsia="Times New Roman"/>
          <w:b w:val="0"/>
          <w:i w:val="0"/>
          <w:sz w:val="32"/>
        </w:rPr>
        <w:t>Recorded first hospitalisations after cardiovascular diagnosis before and during COVID-19 in Hong Kong</w:t>
      </w:r>
    </w:p>
    <w:p>
      <w:pPr>
        <w:spacing w:after="160" w:before="0" w:line="240" w:lineRule="auto"/>
        <w:ind w:firstLine="0"/>
        <w:jc w:val="left"/>
      </w:pPr>
      <w:r>
        <w:rPr>
          <w:rFonts w:ascii="Times New Roman" w:hAnsi="Times New Roman" w:eastAsia="Times New Roman"/>
          <w:b w:val="0"/>
          <w:i/>
          <w:sz w:val="23"/>
        </w:rPr>
        <w:t>Running title:</w:t>
      </w:r>
      <w:r>
        <w:rPr>
          <w:rFonts w:ascii="Times New Roman" w:hAnsi="Times New Roman" w:eastAsia="Times New Roman"/>
          <w:b w:val="0"/>
          <w:i w:val="0"/>
          <w:sz w:val="23"/>
        </w:rPr>
        <w:t xml:space="preserve"> Recorded hospitalisations in the COVID era</w:t>
      </w:r>
    </w:p>
    <w:p>
      <w:pPr>
        <w:pStyle w:val="Heading1"/>
        <w:keepNext/>
        <w:keepLines/>
        <w:spacing w:after="120" w:before="240" w:line="240" w:lineRule="auto"/>
        <w:ind w:firstLine="0"/>
        <w:jc w:val="left"/>
      </w:pPr>
      <w:r>
        <w:rPr>
          <w:rFonts w:ascii="Times New Roman" w:hAnsi="Times New Roman" w:eastAsia="Times New Roman"/>
          <w:b/>
          <w:i w:val="0"/>
          <w:sz w:val="27"/>
        </w:rPr>
        <w:t>Abstract</w:t>
      </w:r>
    </w:p>
    <w:p>
      <w:pPr>
        <w:spacing w:after="160" w:before="0" w:line="240" w:lineRule="auto"/>
        <w:ind w:firstLine="0"/>
        <w:jc w:val="left"/>
      </w:pPr>
      <w:r>
        <w:rPr>
          <w:rFonts w:ascii="Times New Roman" w:hAnsi="Times New Roman" w:eastAsia="Times New Roman"/>
          <w:b w:val="0"/>
          <w:i w:val="0"/>
          <w:sz w:val="23"/>
        </w:rPr>
        <w:t>Interpreting a pandemic-era fall in hospitalisations requires understanding the trajectory that preceded it and the population contributing events. We examined first recorded hospitalisations after coronary heart disease (CHD) or heart failure (HF) diagnosis in Hong Kong among people diagnosed with type 2 diabetes and/or hypertension during 2013–2023. The two monthly series contained 156,156 CHD-associated and 29,681 HF-associated stays. Annual counts declined before 2020, fell further in 2020 and recovered towards 2019 levels by 2023. Compared with 2019, CHD and HF counts were respectively 17.4% and 16.2% lower in 2020, and 0.6% and 2.0% lower in 2023. Twelve exploratory negative-binomial models assessed weather associations with calendar and month-length controls. All twelve lag-six false-discovery-adjusted q-values exceeded 0.19; selected associations were sensitive to calendar specification and uncertainty construction. Overlapping analysis windows did not permit a direct period comparison. Admission cause and eligible person-time were unavailable, preventing interpretation as disease-specific incidence. The 2020 fall thus occurred within a longer decline, followed by recovery in recorded burden. These counts cannot distinguish physiological improvement from altered care or recording, and the weather models do not exclude a weather contribution. The preceding trajectory and event construction are essential to interpreting lower hospital use during a health-system disruption.</w:t>
      </w:r>
    </w:p>
    <w:p>
      <w:pPr>
        <w:spacing w:after="160" w:before="0" w:line="240" w:lineRule="auto"/>
        <w:ind w:firstLine="0"/>
        <w:jc w:val="left"/>
      </w:pPr>
      <w:r>
        <w:rPr>
          <w:rFonts w:ascii="Times New Roman" w:hAnsi="Times New Roman" w:eastAsia="Times New Roman"/>
          <w:b/>
          <w:i w:val="0"/>
          <w:sz w:val="23"/>
        </w:rPr>
        <w:t>Keywords:</w:t>
      </w:r>
      <w:r>
        <w:rPr>
          <w:rFonts w:ascii="Times New Roman" w:hAnsi="Times New Roman" w:eastAsia="Times New Roman"/>
          <w:b w:val="0"/>
          <w:i w:val="0"/>
          <w:sz w:val="23"/>
        </w:rPr>
        <w:t xml:space="preserve"> COVID-19; recorded hospitalisation; coronary heart disease; heart failure; diabetes; hypertension; Hong Kong</w:t>
      </w:r>
    </w:p>
    <w:p>
      <w:pPr>
        <w:pStyle w:val="Heading1"/>
        <w:keepNext/>
        <w:keepLines/>
        <w:spacing w:after="120" w:before="240" w:line="240" w:lineRule="auto"/>
        <w:ind w:firstLine="0"/>
        <w:jc w:val="left"/>
      </w:pPr>
      <w:r>
        <w:rPr>
          <w:rFonts w:ascii="Times New Roman" w:hAnsi="Times New Roman" w:eastAsia="Times New Roman"/>
          <w:b/>
          <w:i w:val="0"/>
          <w:sz w:val="27"/>
        </w:rPr>
        <w:t>Introduction</w:t>
      </w:r>
    </w:p>
    <w:p>
      <w:pPr>
        <w:spacing w:after="160" w:before="0" w:line="240" w:lineRule="auto"/>
        <w:ind w:firstLine="0"/>
        <w:jc w:val="left"/>
      </w:pPr>
      <w:r>
        <w:rPr>
          <w:rFonts w:ascii="Times New Roman" w:hAnsi="Times New Roman" w:eastAsia="Times New Roman"/>
          <w:b w:val="0"/>
          <w:i w:val="0"/>
          <w:sz w:val="23"/>
        </w:rPr>
        <w:t>Hospitalisation counts are often used to describe population health during a public health emergency. Their interpretation depends on whether disease occurrence, access to care and event recording remain comparable. Hong Kong studies reported fewer hospitalisations and emergency-department visits during COVID-19 alongside higher mortality [1,2]. A reduction in recorded hospital use can therefore coexist with worse outcomes. For first hospitalisations, the number of people eligible to contribute an event also matters. Entry, prior diagnoses, earlier events and departures from observation can change counts without equivalent changes in individual risk.</w:t>
      </w:r>
    </w:p>
    <w:p>
      <w:pPr>
        <w:spacing w:after="160" w:before="0" w:line="240" w:lineRule="auto"/>
        <w:ind w:firstLine="0"/>
        <w:jc w:val="left"/>
      </w:pPr>
      <w:r>
        <w:rPr>
          <w:rFonts w:ascii="Times New Roman" w:hAnsi="Times New Roman" w:eastAsia="Times New Roman"/>
          <w:b w:val="0"/>
          <w:i w:val="0"/>
          <w:sz w:val="23"/>
        </w:rPr>
        <w:t>Closely related studies have examined cardiovascular outcomes, mortality and healthcare use among people with diabetes in Hong Kong and Korea [3] and among Hong Kong patients with hypertension [4]. The hypertension study also assessed blood-pressure control. A subsequent Hong Kong cohort related reduced continuity of diabetes care to later cardiovascular and other outcomes [5]. These studies establish the need to consider clinical outcomes alongside service use. A complementary descriptive question concerns the longer trajectory: how did recorded first hospitalisations evolve through 2023 relative to the decline preceding 2020?</w:t>
      </w:r>
    </w:p>
    <w:p>
      <w:pPr>
        <w:spacing w:after="160" w:before="0" w:line="240" w:lineRule="auto"/>
        <w:ind w:firstLine="0"/>
        <w:jc w:val="left"/>
      </w:pPr>
      <w:r>
        <w:rPr>
          <w:rFonts w:ascii="Times New Roman" w:hAnsi="Times New Roman" w:eastAsia="Times New Roman"/>
          <w:b w:val="0"/>
          <w:i w:val="0"/>
          <w:sz w:val="23"/>
        </w:rPr>
        <w:t>We examined two territory-wide monthly series of first recorded hospitalisations after CHD or HF diagnosis among people diagnosed with type 2 diabetes and/or hypertension during 2013–2023. We described annual counts and their relation to the late pre-pandemic level. A secondary question concerned the stability of weather associations previously interpreted as changing when later years were included. We examined the complete exploratory panel and its calendar and uncertainty sensitivities. These models assess the dependence of those associations on specification; they do not explain the annual trajectory.</w:t>
      </w:r>
    </w:p>
    <w:p>
      <w:pPr>
        <w:pStyle w:val="Heading1"/>
        <w:keepNext/>
        <w:keepLines/>
        <w:spacing w:after="120" w:before="240" w:line="240" w:lineRule="auto"/>
        <w:ind w:firstLine="0"/>
        <w:jc w:val="left"/>
      </w:pPr>
      <w:r>
        <w:rPr>
          <w:rFonts w:ascii="Times New Roman" w:hAnsi="Times New Roman" w:eastAsia="Times New Roman"/>
          <w:b/>
          <w:i w:val="0"/>
          <w:sz w:val="27"/>
        </w:rPr>
        <w:t>Results</w:t>
      </w:r>
    </w:p>
    <w:p>
      <w:pPr>
        <w:pStyle w:val="Heading2"/>
        <w:keepNext/>
        <w:keepLines/>
        <w:spacing w:after="120" w:before="160" w:line="240" w:lineRule="auto"/>
        <w:ind w:firstLine="0"/>
        <w:jc w:val="left"/>
      </w:pPr>
      <w:r>
        <w:rPr>
          <w:rFonts w:ascii="Times New Roman" w:hAnsi="Times New Roman" w:eastAsia="Times New Roman"/>
          <w:b/>
          <w:i w:val="0"/>
          <w:sz w:val="23"/>
        </w:rPr>
        <w:t>A preceding decline and a pandemic-era trough</w:t>
      </w:r>
    </w:p>
    <w:p>
      <w:pPr>
        <w:spacing w:after="160" w:before="0" w:line="240" w:lineRule="auto"/>
        <w:ind w:firstLine="0"/>
        <w:jc w:val="left"/>
      </w:pPr>
      <w:r>
        <w:rPr>
          <w:rFonts w:ascii="Times New Roman" w:hAnsi="Times New Roman" w:eastAsia="Times New Roman"/>
          <w:b w:val="0"/>
          <w:i w:val="0"/>
          <w:sz w:val="23"/>
        </w:rPr>
        <w:t>The series contained 156,156 first recorded hospitalisations after CHD diagnosis and 29,681 after HF diagnosis. These outcome-specific totals were not combined into a unique patient count. Annual CHD counts fell from 23,830 in 2013 to 12,396 in 2019, while HF counts fell from 4,336 to 2,344 (Fig. 1; Supplementary Table S1). Both series therefore showed a substantial decline before the first pandemic year.</w:t>
      </w:r>
    </w:p>
    <w:p>
      <w:pPr>
        <w:spacing w:after="160" w:before="0" w:line="240" w:lineRule="auto"/>
        <w:ind w:firstLine="0"/>
        <w:jc w:val="left"/>
      </w:pPr>
      <w:r>
        <w:rPr>
          <w:rFonts w:ascii="Times New Roman" w:hAnsi="Times New Roman" w:eastAsia="Times New Roman"/>
          <w:b w:val="0"/>
          <w:i w:val="0"/>
          <w:sz w:val="23"/>
        </w:rPr>
        <w:t>Counts fell further in 2020, to 10,237 for CHD and 1,964 for HF: respectively 17.4% and 16.2% below 2019. Both series rose in 2021, fell in 2022 and rose again in 2023. In 2023, the totals were 12,323 for CHD and 2,296 for HF, 0.6% and 2.0% below 2019. Recovery refers to recorded counts approaching the late pre-pandemic level, rather than returning to the much higher 2013 totals. These arithmetic comparisons do not adjust for the pre-existing trend.</w:t>
      </w:r>
    </w:p>
    <w:p>
      <w:pPr>
        <w:spacing w:after="160" w:before="0" w:line="240" w:lineRule="auto"/>
        <w:ind w:firstLine="0"/>
        <w:jc w:val="left"/>
      </w:pPr>
      <w:r>
        <w:rPr>
          <w:rFonts w:ascii="Times New Roman" w:hAnsi="Times New Roman" w:eastAsia="Times New Roman"/>
          <w:b w:val="0"/>
          <w:i w:val="0"/>
          <w:sz w:val="23"/>
        </w:rPr>
        <w:t>Disjoint period means are provided in Supplementary Table S2. The average over all pre-2020 years includes the preceding decline and is not a counterfactual for 2020 without the pandemic.</w:t>
      </w:r>
    </w:p>
    <w:p>
      <w:pPr>
        <w:keepNext/>
        <w:keepLines/>
        <w:spacing w:after="120" w:before="0" w:line="240" w:lineRule="auto"/>
        <w:ind w:firstLine="0"/>
        <w:jc w:val="left"/>
      </w:pPr>
      <w:r>
        <w:rPr>
          <w:rFonts w:ascii="Times New Roman" w:hAnsi="Times New Roman" w:eastAsia="Times New Roman"/>
          <w:b w:val="0"/>
          <w:i/>
          <w:sz w:val="21"/>
        </w:rPr>
        <w:t>Figure 1. Annual recorded first hospitalisations after cardiovascular diagnosis, 2013–2023. Stays after coronary heart disease (CHD) and heart failure (HF) diagnosis are shown separately on zero-origin count axes with different vertical scales. Each point is an observed annual total, without adjustment for eligible population or secular trend. Shading identifies 2020–2023 calendar years and does not denote an estimated treatment effect. The endpoint is the first recorded hospitalisation after a relevant diagnosis, with admission cause unavailable. All 22 totals are retained in Supplementary Table S1.</w:t>
      </w:r>
    </w:p>
    <w:p>
      <w:pPr>
        <w:keepLines/>
        <w:spacing w:after="160" w:before="0" w:line="240" w:lineRule="auto"/>
        <w:ind w:firstLine="0"/>
        <w:jc w:val="center"/>
      </w:pPr>
      <w:r>
        <w:drawing>
          <wp:inline xmlns:a="http://schemas.openxmlformats.org/drawingml/2006/main" xmlns:pic="http://schemas.openxmlformats.org/drawingml/2006/picture">
            <wp:extent cx="5943600" cy="2727064"/>
            <wp:docPr id="1" name="Picture 1"/>
            <wp:cNvGraphicFramePr>
              <a:graphicFrameLocks noChangeAspect="1"/>
            </wp:cNvGraphicFramePr>
            <a:graphic>
              <a:graphicData uri="http://schemas.openxmlformats.org/drawingml/2006/picture">
                <pic:pic>
                  <pic:nvPicPr>
                    <pic:cNvPr id="0" name="annual_counts.png"/>
                    <pic:cNvPicPr/>
                  </pic:nvPicPr>
                  <pic:blipFill>
                    <a:blip r:embed="rId11"/>
                    <a:stretch>
                      <a:fillRect/>
                    </a:stretch>
                  </pic:blipFill>
                  <pic:spPr>
                    <a:xfrm>
                      <a:off x="0" y="0"/>
                      <a:ext cx="5943600" cy="2727064"/>
                    </a:xfrm>
                    <a:prstGeom prst="rect"/>
                  </pic:spPr>
                </pic:pic>
              </a:graphicData>
            </a:graphic>
          </wp:inline>
        </w:drawing>
      </w:r>
    </w:p>
    <w:p>
      <w:pPr>
        <w:pStyle w:val="Heading2"/>
        <w:keepNext/>
        <w:keepLines/>
        <w:spacing w:after="120" w:before="160" w:line="240" w:lineRule="auto"/>
        <w:ind w:firstLine="0"/>
        <w:jc w:val="left"/>
      </w:pPr>
      <w:r>
        <w:rPr>
          <w:rFonts w:ascii="Times New Roman" w:hAnsi="Times New Roman" w:eastAsia="Times New Roman"/>
          <w:b/>
          <w:i w:val="0"/>
          <w:sz w:val="23"/>
        </w:rPr>
        <w:t>Weather associations vary across exposures and analysis windows</w:t>
      </w:r>
    </w:p>
    <w:p>
      <w:pPr>
        <w:spacing w:after="160" w:before="0" w:line="240" w:lineRule="auto"/>
        <w:ind w:firstLine="0"/>
        <w:jc w:val="left"/>
      </w:pPr>
      <w:r>
        <w:rPr>
          <w:rFonts w:ascii="Times New Roman" w:hAnsi="Times New Roman" w:eastAsia="Times New Roman"/>
          <w:b w:val="0"/>
          <w:i w:val="0"/>
          <w:sz w:val="23"/>
        </w:rPr>
        <w:t>Full-window models gave small inverse point estimates for continuous temperature in both outcomes (Fig. 2; Supplementary Table S3). The count ratio per 1°C higher monthly mean temperature was 0.993 (95% confidence interval (CI) 0.976–1.010) for CHD. It was 0.974 (0.947–1.002) for HF. Official-day exposures gave a different pattern. Per five additional cold days, the CHD ratio was 0.995 (0.949–1.043) and the HF ratio was 1.073 (1.006–1.144). CHD hot nights gave a ratio of 1.022 (1.002–1.042). These are conditional ecological count associations, rather than changes in eligible-population incidence.</w:t>
      </w:r>
    </w:p>
    <w:p>
      <w:pPr>
        <w:spacing w:after="160" w:before="0" w:line="240" w:lineRule="auto"/>
        <w:ind w:firstLine="0"/>
        <w:jc w:val="left"/>
      </w:pPr>
      <w:r>
        <w:rPr>
          <w:rFonts w:ascii="Times New Roman" w:hAnsi="Times New Roman" w:eastAsia="Times New Roman"/>
          <w:b w:val="0"/>
          <w:i w:val="0"/>
          <w:sz w:val="23"/>
        </w:rPr>
        <w:t>The smallest Benjamini–Hochberg-adjusted q-value in the twelve-fit lag-six family was 0.192; all twelve exceeded 0.19. No association met a 5% false-discovery threshold. This does not establish equivalence to no association or exclude a weather contribution to the count trajectory. The continuous-temperature and official-day models also represent different exposure contrasts, so their numerical magnitudes cannot be compared as interchangeable measures of thermal response.</w:t>
      </w:r>
    </w:p>
    <w:p>
      <w:pPr>
        <w:spacing w:after="160" w:before="0" w:line="240" w:lineRule="auto"/>
        <w:ind w:firstLine="0"/>
        <w:jc w:val="left"/>
      </w:pPr>
      <w:r>
        <w:rPr>
          <w:rFonts w:ascii="Times New Roman" w:hAnsi="Times New Roman" w:eastAsia="Times New Roman"/>
          <w:b w:val="0"/>
          <w:i w:val="0"/>
          <w:sz w:val="23"/>
        </w:rPr>
        <w:t>Pre-2020 cold-day ratios were 1.036 (1.007–1.067) for CHD and 1.113 (1.053–1.176) for HF, exceeding their full-window point estimates. The 84 pre-2020 months are contained within the full 132 months, and each fit used a reconstructed spline basis (Supplementary Table S4; Fig. S2). Their difference is not an estimated pre/post effect. The smaller full-window cold-day coefficients are not evidence that cold became protective.</w:t>
      </w:r>
    </w:p>
    <w:p>
      <w:pPr>
        <w:keepNext/>
        <w:keepLines/>
        <w:spacing w:after="120" w:before="0" w:line="240" w:lineRule="auto"/>
        <w:ind w:firstLine="0"/>
        <w:jc w:val="left"/>
      </w:pPr>
      <w:r>
        <w:rPr>
          <w:rFonts w:ascii="Times New Roman" w:hAnsi="Times New Roman" w:eastAsia="Times New Roman"/>
          <w:b w:val="0"/>
          <w:i/>
          <w:sz w:val="21"/>
        </w:rPr>
        <w:t>Figure 2. Complete full-window exploratory weather associations. All twelve coronary heart disease (CHD) and heart failure (HF) negative-binomial models for January 2013–December 2023 are displayed with nominal pointwise Newey–West lag-six 95% confidence intervals. Continuous exposures are scaled per 1°C; official-day exposures are scaled per five additional days, without a consecutive-day requirement. Separate panels distinguish outcomes and reporting units. Every model uses calendar-month indicators, a four-degree-of-freedom natural time spline and a days-in-month offset. The reference line denotes a count ratio of one. BH q-values apply jointly to the twelve two-sided lag-six Wald tests; all exceed 0.19. The intervals themselves are not multiplicity-adjusted. The full window spans 132 calendar months. Reported estimates, p-values and q-values are in Supplementary Table S3; full-precision values are retained in the source CSV. These are recorded-count associations, not cohort incidence ratios.</w:t>
      </w:r>
    </w:p>
    <w:p>
      <w:pPr>
        <w:keepLines/>
        <w:spacing w:after="160" w:before="0" w:line="240" w:lineRule="auto"/>
        <w:ind w:firstLine="0"/>
        <w:jc w:val="center"/>
      </w:pPr>
      <w:r>
        <w:drawing>
          <wp:inline xmlns:a="http://schemas.openxmlformats.org/drawingml/2006/main" xmlns:pic="http://schemas.openxmlformats.org/drawingml/2006/picture">
            <wp:extent cx="5943600" cy="3985708"/>
            <wp:docPr id="2" name="Picture 2"/>
            <wp:cNvGraphicFramePr>
              <a:graphicFrameLocks noChangeAspect="1"/>
            </wp:cNvGraphicFramePr>
            <a:graphic>
              <a:graphicData uri="http://schemas.openxmlformats.org/drawingml/2006/picture">
                <pic:pic>
                  <pic:nvPicPr>
                    <pic:cNvPr id="0" name="complete_weather.png"/>
                    <pic:cNvPicPr/>
                  </pic:nvPicPr>
                  <pic:blipFill>
                    <a:blip r:embed="rId12"/>
                    <a:stretch>
                      <a:fillRect/>
                    </a:stretch>
                  </pic:blipFill>
                  <pic:spPr>
                    <a:xfrm>
                      <a:off x="0" y="0"/>
                      <a:ext cx="5943600" cy="3985708"/>
                    </a:xfrm>
                    <a:prstGeom prst="rect"/>
                  </pic:spPr>
                </pic:pic>
              </a:graphicData>
            </a:graphic>
          </wp:inline>
        </w:drawing>
      </w:r>
    </w:p>
    <w:p>
      <w:pPr>
        <w:pStyle w:val="Heading2"/>
        <w:keepNext/>
        <w:keepLines/>
        <w:spacing w:after="120" w:before="160" w:line="240" w:lineRule="auto"/>
        <w:ind w:firstLine="0"/>
        <w:jc w:val="left"/>
      </w:pPr>
      <w:r>
        <w:rPr>
          <w:rFonts w:ascii="Times New Roman" w:hAnsi="Times New Roman" w:eastAsia="Times New Roman"/>
          <w:b/>
          <w:i w:val="0"/>
          <w:sz w:val="23"/>
        </w:rPr>
        <w:t>Calendar control and covariance affect magnitude and precision</w:t>
      </w:r>
    </w:p>
    <w:p>
      <w:pPr>
        <w:spacing w:after="160" w:before="0" w:line="240" w:lineRule="auto"/>
        <w:ind w:firstLine="0"/>
        <w:jc w:val="left"/>
      </w:pPr>
      <w:r>
        <w:rPr>
          <w:rFonts w:ascii="Times New Roman" w:hAnsi="Times New Roman" w:eastAsia="Times New Roman"/>
          <w:b w:val="0"/>
          <w:i w:val="0"/>
          <w:sz w:val="23"/>
        </w:rPr>
        <w:t>For HF cold days, the count ratio was 1.062 (0.994–1.135) with an eight-degree-of-freedom spline and 1.043 (0.965–1.127) after omitting the first twenty-four months. Both intervals included one (Fig. 3; Supplementary Table S5). These checks varied temporal control or the observations contributing to the fit. COVID-phase intercepts gave a CHD hot-night ratio of 1.013 (0.994–1.033) and an HF cold-day ratio of 1.074 (1.006–1.145). Those intercepts adjusted the full series; they did not define an independently fitted later period.</w:t>
      </w:r>
    </w:p>
    <w:p>
      <w:pPr>
        <w:spacing w:after="160" w:before="0" w:line="240" w:lineRule="auto"/>
        <w:ind w:firstLine="0"/>
        <w:jc w:val="left"/>
      </w:pPr>
      <w:r>
        <w:rPr>
          <w:rFonts w:ascii="Times New Roman" w:hAnsi="Times New Roman" w:eastAsia="Times New Roman"/>
          <w:b w:val="0"/>
          <w:i w:val="0"/>
          <w:sz w:val="23"/>
        </w:rPr>
        <w:t>Uncertainty construction changed the interpretation of CHD hot nights while leaving the fitted coefficient unchanged. Its model-based interval was 0.995–1.049 and its heteroskedasticity-consistent (HC1) interval 0.997–1.047, whereas the lag-six interval was 1.002–1.042. Lag-one Pearson residual autocorrelation was 0.508. This does not require wider heteroskedasticity- and autocorrelation-consistent (HAC) intervals, because the covariance also depends on regression scores. Finite-sample interval coverage was not calibrated. Complete intervals and released diagnostics are retained in Supplementary Tables S6 and S7.</w:t>
      </w:r>
    </w:p>
    <w:p>
      <w:pPr>
        <w:keepNext/>
        <w:keepLines/>
        <w:spacing w:after="120" w:before="0" w:line="240" w:lineRule="auto"/>
        <w:ind w:firstLine="0"/>
        <w:jc w:val="left"/>
      </w:pPr>
      <w:r>
        <w:rPr>
          <w:rFonts w:ascii="Times New Roman" w:hAnsi="Times New Roman" w:eastAsia="Times New Roman"/>
          <w:b w:val="0"/>
          <w:i/>
          <w:sz w:val="21"/>
        </w:rPr>
        <w:t>Figure 3. Diagnostic examples of calendar and uncertainty sensitivity. Heart failure (HF) cold-day and coronary heart disease (CHD) hot-night ratios are displayed per five official days. Baseline fits cover January 2013–December 2023. Upper panels retain the baseline and six fixed calendar/start-window checks with nominal pointwise Newey–West lag-six 95% intervals. Windows span 132 months, or 120/108 months after the indicated omissions. Lower panels retain the same baseline coefficient under model-based, HC1, lag-three and lag-six uncertainty constructions. These selected examples reveal specification dependence; they are not a new confirmatory family. Panel ranges differ, and interval overlap or crossing one is not a test of a difference between specifications. The complete official-day calendar panel, including phase-intercept adjustment, and all 48 baseline intervals remain in Supplementary Tables S5 and S6.</w:t>
      </w:r>
    </w:p>
    <w:p>
      <w:pPr>
        <w:keepLines/>
        <w:spacing w:after="160" w:before="0" w:line="240" w:lineRule="auto"/>
        <w:ind w:firstLine="0"/>
        <w:jc w:val="center"/>
      </w:pPr>
      <w:r>
        <w:drawing>
          <wp:inline xmlns:a="http://schemas.openxmlformats.org/drawingml/2006/main" xmlns:pic="http://schemas.openxmlformats.org/drawingml/2006/picture">
            <wp:extent cx="5943600" cy="4447211"/>
            <wp:docPr id="3" name="Picture 3"/>
            <wp:cNvGraphicFramePr>
              <a:graphicFrameLocks noChangeAspect="1"/>
            </wp:cNvGraphicFramePr>
            <a:graphic>
              <a:graphicData uri="http://schemas.openxmlformats.org/drawingml/2006/picture">
                <pic:pic>
                  <pic:nvPicPr>
                    <pic:cNvPr id="0" name="model_criticism.png"/>
                    <pic:cNvPicPr/>
                  </pic:nvPicPr>
                  <pic:blipFill>
                    <a:blip r:embed="rId13"/>
                    <a:stretch>
                      <a:fillRect/>
                    </a:stretch>
                  </pic:blipFill>
                  <pic:spPr>
                    <a:xfrm>
                      <a:off x="0" y="0"/>
                      <a:ext cx="5943600" cy="4447211"/>
                    </a:xfrm>
                    <a:prstGeom prst="rect"/>
                  </pic:spPr>
                </pic:pic>
              </a:graphicData>
            </a:graphic>
          </wp:inline>
        </w:drawing>
      </w:r>
    </w:p>
    <w:p>
      <w:pPr>
        <w:pStyle w:val="Heading1"/>
        <w:keepNext/>
        <w:keepLines/>
        <w:spacing w:after="120" w:before="240" w:line="240" w:lineRule="auto"/>
        <w:ind w:firstLine="0"/>
        <w:jc w:val="left"/>
      </w:pPr>
      <w:r>
        <w:rPr>
          <w:rFonts w:ascii="Times New Roman" w:hAnsi="Times New Roman" w:eastAsia="Times New Roman"/>
          <w:b/>
          <w:i w:val="0"/>
          <w:sz w:val="27"/>
        </w:rPr>
        <w:t>Discussion</w:t>
      </w:r>
    </w:p>
    <w:p>
      <w:pPr>
        <w:spacing w:after="160" w:before="0" w:line="240" w:lineRule="auto"/>
        <w:ind w:firstLine="0"/>
        <w:jc w:val="left"/>
      </w:pPr>
      <w:r>
        <w:rPr>
          <w:rFonts w:ascii="Times New Roman" w:hAnsi="Times New Roman" w:eastAsia="Times New Roman"/>
          <w:b w:val="0"/>
          <w:i w:val="0"/>
          <w:sz w:val="23"/>
        </w:rPr>
        <w:t>The 2020 fall in recorded first hospitalisations occurred within a longer decline, followed by recovery towards 2019 counts. This temporal context changes the comparison relevant to interpreting the pandemic-era trough. A comparison with the average of all preceding years combines that trough with an earlier trend. The annual summaries establish the pattern of recorded burden, but do not estimate an additional pandemic effect or a change in cardiovascular health.</w:t>
      </w:r>
    </w:p>
    <w:p>
      <w:pPr>
        <w:spacing w:after="160" w:before="0" w:line="240" w:lineRule="auto"/>
        <w:ind w:firstLine="0"/>
        <w:jc w:val="left"/>
      </w:pPr>
      <w:r>
        <w:rPr>
          <w:rFonts w:ascii="Times New Roman" w:hAnsi="Times New Roman" w:eastAsia="Times New Roman"/>
          <w:b w:val="0"/>
          <w:i w:val="0"/>
          <w:sz w:val="23"/>
        </w:rPr>
        <w:t>The distinction follows from how an event enters the series. A counted stay requires a diagnosis record, hospital contact and eligibility to contribute a first event, with admission cause unavailable. Supplementary Fig. S1 separates these observation processes without assigning effects to them. The early maximum does not establish a first-in-window recording artefact, and the later rebound does not rule out changes in the eligible population. The clinical significance of the trajectory depends on whether the recorded event and the population contributing events remained comparable.</w:t>
      </w:r>
    </w:p>
    <w:p>
      <w:pPr>
        <w:spacing w:after="160" w:before="0" w:line="240" w:lineRule="auto"/>
        <w:ind w:firstLine="0"/>
        <w:jc w:val="left"/>
      </w:pPr>
      <w:r>
        <w:rPr>
          <w:rFonts w:ascii="Times New Roman" w:hAnsi="Times New Roman" w:eastAsia="Times New Roman"/>
          <w:b w:val="0"/>
          <w:i w:val="0"/>
          <w:sz w:val="23"/>
        </w:rPr>
        <w:t>Care disruption is consistent with local reports of reduced hospitalisation or emergency attendance alongside higher mortality [1,2]. Closely matched diabetes and hypertension studies examined cardiovascular outcomes together with healthcare use and mortality [3,4]. Hu and colleagues also reported blood-pressure control below pre-pandemic levels among measured patients [4]. These findings challenge an interpretation of fewer recorded events as generally improved health. Linked evidence also requires careful population definition. In Yau and colleagues' cohort, patients attended repeatedly and remained alive and outcome-free at a June 2022 landmark [5]. Reduced continuity of care was associated with later CHD, HF and kidney failure; results for stroke and all-cause mortality were less conclusive. These selected populations and endpoints differ from the supplied first post-diagnosis stay, so their estimates cannot be transferred directly.</w:t>
      </w:r>
    </w:p>
    <w:p>
      <w:pPr>
        <w:spacing w:after="160" w:before="0" w:line="240" w:lineRule="auto"/>
        <w:ind w:firstLine="0"/>
        <w:jc w:val="left"/>
      </w:pPr>
      <w:r>
        <w:rPr>
          <w:rFonts w:ascii="Times New Roman" w:hAnsi="Times New Roman" w:eastAsia="Times New Roman"/>
          <w:b w:val="0"/>
          <w:i w:val="0"/>
          <w:sz w:val="23"/>
        </w:rPr>
        <w:t>Clinical measurements elsewhere were discordant. Retained diabetes outpatients in Taiwan showed lower HbA1c and fasting glucose [6], whereas a Tokyo diabetes cohort showed small adverse changes in glycaemia and lipids [7]. A Hong Kong primary-care study found no overall adjusted improvement in HbA1c or blood pressure [8]. Its samples came from February–March 2020 and February–March 2021, rather than a clean pre-pandemic comparison or individual longitudinal assessment. Follow-up of Hong Kong COVID-19 survivors with acute dysglycaemia found worsening glycaemic status [9]. Attendance, treatment and measurement timing restrict what these findings imply about population health. Better measurements among retained patients cannot establish improvement in everyone originally eligible.</w:t>
      </w:r>
    </w:p>
    <w:p>
      <w:pPr>
        <w:spacing w:after="160" w:before="0" w:line="240" w:lineRule="auto"/>
        <w:ind w:firstLine="0"/>
        <w:jc w:val="left"/>
      </w:pPr>
      <w:r>
        <w:rPr>
          <w:rFonts w:ascii="Times New Roman" w:hAnsi="Times New Roman" w:eastAsia="Times New Roman"/>
          <w:b w:val="0"/>
          <w:i w:val="0"/>
          <w:sz w:val="23"/>
        </w:rPr>
        <w:t>Respiratory exposure offers another possible influence on weather associations. Hong Kong interventions coincided with reduced influenza transmission in early 2020 [10]. Influenza has been associated with acute myocardial infarction [11], and community influenza-like illness activity with HF hospitalisation [12]. Fewer winter respiratory triggers could alter a cold-day association without changing the direct physiological response to cold. Neither infection nor these cause-specific outcomes were measured here. Lower observed cardiovascular risk among vaccinated than unvaccinated people with recorded SARS-CoV-2 infection also concerns a selected population [13]. It does not establish population-wide baseline improvement or explain the 2020 fall before vaccination.</w:t>
      </w:r>
    </w:p>
    <w:p>
      <w:pPr>
        <w:spacing w:after="160" w:before="0" w:line="240" w:lineRule="auto"/>
        <w:ind w:firstLine="0"/>
        <w:jc w:val="left"/>
      </w:pPr>
      <w:r>
        <w:rPr>
          <w:rFonts w:ascii="Times New Roman" w:hAnsi="Times New Roman" w:eastAsia="Times New Roman"/>
          <w:b w:val="0"/>
          <w:i w:val="0"/>
          <w:sz w:val="23"/>
        </w:rPr>
        <w:t>The weather models do not discriminate these explanations. Adding later years changes exposure support and calendar control as well as the observations fitted. Care use or recording correlated with weather could alter an ecological slope without changing physiological susceptibility; a stable slope would not establish stable susceptibility either. The complete family and sensitivity checks bound interpretation of the fitted associations. They provide neither a formal period-difference test nor a weather decomposition of annual burden. Non-rejection after multiplicity adjustment therefore does not show that weather was irrelevant.</w:t>
      </w:r>
    </w:p>
    <w:p>
      <w:pPr>
        <w:spacing w:after="160" w:before="0" w:line="240" w:lineRule="auto"/>
        <w:ind w:firstLine="0"/>
        <w:jc w:val="left"/>
      </w:pPr>
      <w:r>
        <w:rPr>
          <w:rFonts w:ascii="Times New Roman" w:hAnsi="Times New Roman" w:eastAsia="Times New Roman"/>
          <w:b w:val="0"/>
          <w:i w:val="0"/>
          <w:sz w:val="23"/>
        </w:rPr>
        <w:t>The principal limits concern measurement and identification. Without validated event rules, eligible person-time and linked deaths, the trajectory cannot be interpreted as disease-specific incidence. Absent clinical and treatment measurements leave physiological change unresolved. Monthly aggregation obscures daily timing, while calendar modelling cannot separate changes in diagnosis, care and recording. The weather analyses were exploratory, sensitivity models had no joint multiplicity adjustment, and nominal interval coverage was uncalibrated. What remains established is the recorded trajectory: a preceding decline, a 2020 trough and recovery towards the late pre-pandemic level. Its interpretation as improved health requires evidence this series does not contain.</w:t>
      </w:r>
    </w:p>
    <w:p>
      <w:pPr>
        <w:pStyle w:val="Heading1"/>
        <w:keepNext/>
        <w:keepLines/>
        <w:spacing w:after="120" w:before="240" w:line="240" w:lineRule="auto"/>
        <w:ind w:firstLine="0"/>
        <w:jc w:val="left"/>
      </w:pPr>
      <w:r>
        <w:rPr>
          <w:rFonts w:ascii="Times New Roman" w:hAnsi="Times New Roman" w:eastAsia="Times New Roman"/>
          <w:b/>
          <w:i w:val="0"/>
          <w:sz w:val="27"/>
        </w:rPr>
        <w:t>Methods</w:t>
      </w:r>
    </w:p>
    <w:p>
      <w:pPr>
        <w:pStyle w:val="Heading2"/>
        <w:keepNext/>
        <w:keepLines/>
        <w:spacing w:after="120" w:before="160" w:line="240" w:lineRule="auto"/>
        <w:ind w:firstLine="0"/>
        <w:jc w:val="left"/>
      </w:pPr>
      <w:r>
        <w:rPr>
          <w:rFonts w:ascii="Times New Roman" w:hAnsi="Times New Roman" w:eastAsia="Times New Roman"/>
          <w:b/>
          <w:i w:val="0"/>
          <w:sz w:val="23"/>
        </w:rPr>
        <w:t>Design and recorded endpoint</w:t>
      </w:r>
    </w:p>
    <w:p>
      <w:pPr>
        <w:spacing w:after="160" w:before="0" w:line="240" w:lineRule="auto"/>
        <w:ind w:firstLine="0"/>
        <w:jc w:val="left"/>
      </w:pPr>
      <w:r>
        <w:rPr>
          <w:rFonts w:ascii="Times New Roman" w:hAnsi="Times New Roman" w:eastAsia="Times New Roman"/>
          <w:b w:val="0"/>
          <w:i w:val="0"/>
          <w:sz w:val="23"/>
        </w:rPr>
        <w:t>This ecological time-series study covered January 2013–December 2023. The Hospital Authority transfer supplied one territory-month series for CHD and one for HF, each containing 132 months. The supplied population comprised people diagnosed with type 2 diabetes and/or hypertension during 2013–2023. For each cardiovascular diagnosis, the counted event was the first recorded hospitalisation after the person's first relevant diagnosis record. CHD and HF were analysed separately; no composite outcome or unique cross-outcome patient total was constructed.</w:t>
      </w:r>
    </w:p>
    <w:p>
      <w:pPr>
        <w:spacing w:after="160" w:before="0" w:line="240" w:lineRule="auto"/>
        <w:ind w:firstLine="0"/>
        <w:jc w:val="left"/>
      </w:pPr>
      <w:r>
        <w:rPr>
          <w:rFonts w:ascii="Times New Roman" w:hAnsi="Times New Roman" w:eastAsia="Times New Roman"/>
          <w:b w:val="0"/>
          <w:i w:val="0"/>
          <w:sz w:val="23"/>
        </w:rPr>
        <w:t>The transfer did not record admission cause. The events were therefore not defined as stays principally for CHD, HF, acute myocardial infarction or acute coronary syndrome. The receipt did not establish whether the diagnosis admission itself qualified or a later stay was required. It also did not supply diagnostic code lists, diagnosis setting, look-back/washout, deduplication, inpatient versus day-procedure or emergency classification, or cohort entry and exit rules. The source extraction query was unavailable for verification. We retained the supplied first-hospitalisation definition and did not infer first-ever disease, a closed cohort or a necessarily declining risk set from the diagnosis interval.</w:t>
      </w:r>
    </w:p>
    <w:p>
      <w:pPr>
        <w:spacing w:after="160" w:before="0" w:line="240" w:lineRule="auto"/>
        <w:ind w:firstLine="0"/>
        <w:jc w:val="left"/>
      </w:pPr>
      <w:r>
        <w:rPr>
          <w:rFonts w:ascii="Times New Roman" w:hAnsi="Times New Roman" w:eastAsia="Times New Roman"/>
          <w:b w:val="0"/>
          <w:i w:val="0"/>
          <w:sz w:val="23"/>
        </w:rPr>
        <w:t>Eligible person-time, linked death/exit information, age and sex strata, laboratory measurements, medication records and infection/vaccination histories were unavailable. The analytical unit was a monthly count, not an individual patient; successive months were not independent replicates. The event totals describe recorded burden in the supplied construction; the same person could contribute to the separate CHD and HF series, with cross-outcome overlap unknown.</w:t>
      </w:r>
    </w:p>
    <w:p>
      <w:pPr>
        <w:pStyle w:val="Heading2"/>
        <w:keepNext/>
        <w:keepLines/>
        <w:spacing w:after="120" w:before="160" w:line="240" w:lineRule="auto"/>
        <w:ind w:firstLine="0"/>
        <w:jc w:val="left"/>
      </w:pPr>
      <w:r>
        <w:rPr>
          <w:rFonts w:ascii="Times New Roman" w:hAnsi="Times New Roman" w:eastAsia="Times New Roman"/>
          <w:b/>
          <w:i w:val="0"/>
          <w:sz w:val="23"/>
        </w:rPr>
        <w:t>Environmental measurements</w:t>
      </w:r>
    </w:p>
    <w:p>
      <w:pPr>
        <w:spacing w:after="160" w:before="0" w:line="240" w:lineRule="auto"/>
        <w:ind w:firstLine="0"/>
        <w:jc w:val="left"/>
      </w:pPr>
      <w:r>
        <w:rPr>
          <w:rFonts w:ascii="Times New Roman" w:hAnsi="Times New Roman" w:eastAsia="Times New Roman"/>
          <w:b w:val="0"/>
          <w:i w:val="0"/>
          <w:sz w:val="23"/>
        </w:rPr>
        <w:t>Meteorological data was obtained from the HKO. The monthly variables included: temperature (mean, minimum, maximum), relative humidity, total rainfall, the number of hot nights (</w:t>
      </w:r>
      <w:r>
        <w:rPr>
          <w:rFonts w:ascii="Times New Roman" w:hAnsi="Times New Roman" w:eastAsia="Times New Roman"/>
          <w:b w:val="0"/>
          <w:i w:val="0"/>
          <w:sz w:val="23"/>
        </w:rPr>
        <w:t>T</w:t>
      </w:r>
      <w:r>
        <w:rPr>
          <w:rFonts w:ascii="Times New Roman" w:hAnsi="Times New Roman" w:eastAsia="Times New Roman"/>
          <w:b w:val="0"/>
          <w:i w:val="0"/>
          <w:sz w:val="23"/>
          <w:vertAlign w:val="subscript"/>
        </w:rPr>
        <w:t>min</w:t>
      </w:r>
      <w:r>
        <w:rPr>
          <w:rFonts w:ascii="Times New Roman" w:hAnsi="Times New Roman" w:eastAsia="Times New Roman"/>
          <w:b w:val="0"/>
          <w:i w:val="0"/>
          <w:sz w:val="23"/>
        </w:rPr>
        <w:t xml:space="preserve"> ≥ 28°C), the number of very hot days (</w:t>
      </w:r>
      <w:r>
        <w:rPr>
          <w:rFonts w:ascii="Times New Roman" w:hAnsi="Times New Roman" w:eastAsia="Times New Roman"/>
          <w:b w:val="0"/>
          <w:i w:val="0"/>
          <w:sz w:val="23"/>
        </w:rPr>
        <w:t>T</w:t>
      </w:r>
      <w:r>
        <w:rPr>
          <w:rFonts w:ascii="Times New Roman" w:hAnsi="Times New Roman" w:eastAsia="Times New Roman"/>
          <w:b w:val="0"/>
          <w:i w:val="0"/>
          <w:sz w:val="23"/>
          <w:vertAlign w:val="subscript"/>
        </w:rPr>
        <w:t>max</w:t>
      </w:r>
      <w:r>
        <w:rPr>
          <w:rFonts w:ascii="Times New Roman" w:hAnsi="Times New Roman" w:eastAsia="Times New Roman"/>
          <w:b w:val="0"/>
          <w:i w:val="0"/>
          <w:sz w:val="23"/>
        </w:rPr>
        <w:t xml:space="preserve"> ≥ 33°C), the number of extremely hot days (</w:t>
      </w:r>
      <w:r>
        <w:rPr>
          <w:rFonts w:ascii="Times New Roman" w:hAnsi="Times New Roman" w:eastAsia="Times New Roman"/>
          <w:b w:val="0"/>
          <w:i w:val="0"/>
          <w:sz w:val="23"/>
        </w:rPr>
        <w:t>T</w:t>
      </w:r>
      <w:r>
        <w:rPr>
          <w:rFonts w:ascii="Times New Roman" w:hAnsi="Times New Roman" w:eastAsia="Times New Roman"/>
          <w:b w:val="0"/>
          <w:i w:val="0"/>
          <w:sz w:val="23"/>
          <w:vertAlign w:val="subscript"/>
        </w:rPr>
        <w:t>max</w:t>
      </w:r>
      <w:r>
        <w:rPr>
          <w:rFonts w:ascii="Times New Roman" w:hAnsi="Times New Roman" w:eastAsia="Times New Roman"/>
          <w:b w:val="0"/>
          <w:i w:val="0"/>
          <w:sz w:val="23"/>
        </w:rPr>
        <w:t xml:space="preserve"> ≥ 35°C), and the number of cold days (</w:t>
      </w:r>
      <w:r>
        <w:rPr>
          <w:rFonts w:ascii="Times New Roman" w:hAnsi="Times New Roman" w:eastAsia="Times New Roman"/>
          <w:b w:val="0"/>
          <w:i w:val="0"/>
          <w:sz w:val="23"/>
        </w:rPr>
        <w:t>T</w:t>
      </w:r>
      <w:r>
        <w:rPr>
          <w:rFonts w:ascii="Times New Roman" w:hAnsi="Times New Roman" w:eastAsia="Times New Roman"/>
          <w:b w:val="0"/>
          <w:i w:val="0"/>
          <w:sz w:val="23"/>
          <w:vertAlign w:val="subscript"/>
        </w:rPr>
        <w:t>min</w:t>
      </w:r>
      <w:r>
        <w:rPr>
          <w:rFonts w:ascii="Times New Roman" w:hAnsi="Times New Roman" w:eastAsia="Times New Roman"/>
          <w:b w:val="0"/>
          <w:i w:val="0"/>
          <w:sz w:val="23"/>
        </w:rPr>
        <w:t xml:space="preserve"> ≤ 12°C). Monthly mean pollutant levels for nitrogen dioxide (</w:t>
      </w:r>
      <w:r>
        <w:rPr>
          <w:rFonts w:ascii="Times New Roman" w:hAnsi="Times New Roman" w:eastAsia="Times New Roman"/>
          <w:b w:val="0"/>
          <w:i w:val="0"/>
          <w:sz w:val="23"/>
        </w:rPr>
        <w:t>NO</w:t>
      </w:r>
      <w:r>
        <w:rPr>
          <w:rFonts w:ascii="Times New Roman" w:hAnsi="Times New Roman" w:eastAsia="Times New Roman"/>
          <w:b w:val="0"/>
          <w:i w:val="0"/>
          <w:sz w:val="23"/>
          <w:vertAlign w:val="subscript"/>
        </w:rPr>
        <w:t>2</w:t>
      </w:r>
      <w:r>
        <w:rPr>
          <w:rFonts w:ascii="Times New Roman" w:hAnsi="Times New Roman" w:eastAsia="Times New Roman"/>
          <w:b w:val="0"/>
          <w:i w:val="0"/>
          <w:sz w:val="23"/>
        </w:rPr>
        <w:t>), sulfur dioxide (</w:t>
      </w:r>
      <w:r>
        <w:rPr>
          <w:rFonts w:ascii="Times New Roman" w:hAnsi="Times New Roman" w:eastAsia="Times New Roman"/>
          <w:b w:val="0"/>
          <w:i w:val="0"/>
          <w:sz w:val="23"/>
        </w:rPr>
        <w:t>SO</w:t>
      </w:r>
      <w:r>
        <w:rPr>
          <w:rFonts w:ascii="Times New Roman" w:hAnsi="Times New Roman" w:eastAsia="Times New Roman"/>
          <w:b w:val="0"/>
          <w:i w:val="0"/>
          <w:sz w:val="23"/>
          <w:vertAlign w:val="subscript"/>
        </w:rPr>
        <w:t>2</w:t>
      </w:r>
      <w:r>
        <w:rPr>
          <w:rFonts w:ascii="Times New Roman" w:hAnsi="Times New Roman" w:eastAsia="Times New Roman"/>
          <w:b w:val="0"/>
          <w:i w:val="0"/>
          <w:sz w:val="23"/>
        </w:rPr>
        <w:t>), and ozone (</w:t>
      </w:r>
      <w:r>
        <w:rPr>
          <w:rFonts w:ascii="Times New Roman" w:hAnsi="Times New Roman" w:eastAsia="Times New Roman"/>
          <w:b w:val="0"/>
          <w:i w:val="0"/>
          <w:sz w:val="23"/>
        </w:rPr>
        <w:t>O</w:t>
      </w:r>
      <w:r>
        <w:rPr>
          <w:rFonts w:ascii="Times New Roman" w:hAnsi="Times New Roman" w:eastAsia="Times New Roman"/>
          <w:b w:val="0"/>
          <w:i w:val="0"/>
          <w:sz w:val="23"/>
          <w:vertAlign w:val="subscript"/>
        </w:rPr>
        <w:t>3</w:t>
      </w:r>
      <w:r>
        <w:rPr>
          <w:rFonts w:ascii="Times New Roman" w:hAnsi="Times New Roman" w:eastAsia="Times New Roman"/>
          <w:b w:val="0"/>
          <w:i w:val="0"/>
          <w:sz w:val="23"/>
        </w:rPr>
        <w:t>) were obtained from the Hong Kong Environmental Protection Department (EPD). All monthly data were derived by taking the average of daily data in each calendar month.</w:t>
      </w:r>
    </w:p>
    <w:p>
      <w:pPr>
        <w:spacing w:after="160" w:before="0" w:line="240" w:lineRule="auto"/>
        <w:ind w:firstLine="0"/>
        <w:jc w:val="left"/>
      </w:pPr>
      <w:r>
        <w:rPr>
          <w:rFonts w:ascii="Times New Roman" w:hAnsi="Times New Roman" w:eastAsia="Times New Roman"/>
          <w:b w:val="0"/>
          <w:i w:val="0"/>
          <w:sz w:val="23"/>
        </w:rPr>
        <w:t>For modelled official-day variables, each monthly exposure was the sum of daily threshold indicators. The five-day reporting scale did not require consecutive days. Continuous temperature measures were monthly means and rainfall, where assembled, was a monthly total. Averaging therefore applies to continuous mean variables, rather than threshold-day counts or rainfall totals. The reported baseline panel comprised mean temperature, mean daily maximum temperature, mean daily minimum temperature, hot nights, very hot days and cold days. The wider project's pollutant and influenza series were not included in these baseline models. Environmental data were not used as a substitute for clinical measurements.</w:t>
      </w:r>
    </w:p>
    <w:p>
      <w:pPr>
        <w:spacing w:after="160" w:before="0" w:line="240" w:lineRule="auto"/>
        <w:ind w:firstLine="0"/>
        <w:jc w:val="left"/>
      </w:pPr>
      <w:r>
        <w:rPr>
          <w:rFonts w:ascii="Times New Roman" w:hAnsi="Times New Roman" w:eastAsia="Times New Roman"/>
          <w:b w:val="0"/>
          <w:i w:val="0"/>
          <w:sz w:val="23"/>
        </w:rPr>
        <w:t>Daily Hong Kong HF admissions and unplanned emergency admissions have been studied in relation to meteorological exposures [14,15]. Those studies provided thermal context, but their temporal resolution and cause-coded or care-setting definitions differed from this monthly first-hospitalisation construction. We did not interpret the monthly coefficients as daily triggering effects, duration thresholds or heatwave excess mortality.</w:t>
      </w:r>
    </w:p>
    <w:p>
      <w:pPr>
        <w:pStyle w:val="Heading2"/>
        <w:keepNext/>
        <w:keepLines/>
        <w:spacing w:after="120" w:before="160" w:line="240" w:lineRule="auto"/>
        <w:ind w:firstLine="0"/>
        <w:jc w:val="left"/>
      </w:pPr>
      <w:r>
        <w:rPr>
          <w:rFonts w:ascii="Times New Roman" w:hAnsi="Times New Roman" w:eastAsia="Times New Roman"/>
          <w:b/>
          <w:i w:val="0"/>
          <w:sz w:val="23"/>
        </w:rPr>
        <w:t>Descriptive comparisons</w:t>
      </w:r>
    </w:p>
    <w:p>
      <w:pPr>
        <w:spacing w:after="160" w:before="0" w:line="240" w:lineRule="auto"/>
        <w:ind w:firstLine="0"/>
        <w:jc w:val="left"/>
      </w:pPr>
      <w:r>
        <w:rPr>
          <w:rFonts w:ascii="Times New Roman" w:hAnsi="Times New Roman" w:eastAsia="Times New Roman"/>
          <w:b w:val="0"/>
          <w:i w:val="0"/>
          <w:sz w:val="23"/>
        </w:rPr>
        <w:t>We summarised the annual counts and monthly means for three disjoint periods: 2013–2019, 2020–2022 and 2023. The final year was presented separately to show the end-of-series trajectory; it was not an unexposed control period. Annual percentage differences were calculated relative to 2019 from the recorded totals. No eligible-population standardisation, trend-adjusted counterfactual or uncertainty interval was assigned to those descriptive arithmetic comparisons. General-population denominators in older project summaries were omitted because they do not define the eligible first-event population.</w:t>
      </w:r>
    </w:p>
    <w:p>
      <w:pPr>
        <w:pStyle w:val="Heading2"/>
        <w:keepNext/>
        <w:keepLines/>
        <w:spacing w:after="120" w:before="160" w:line="240" w:lineRule="auto"/>
        <w:ind w:firstLine="0"/>
        <w:jc w:val="left"/>
      </w:pPr>
      <w:r>
        <w:rPr>
          <w:rFonts w:ascii="Times New Roman" w:hAnsi="Times New Roman" w:eastAsia="Times New Roman"/>
          <w:b/>
          <w:i w:val="0"/>
          <w:sz w:val="23"/>
        </w:rPr>
        <w:t>Weather models and reporting units</w:t>
      </w:r>
    </w:p>
    <w:p>
      <w:pPr>
        <w:spacing w:after="160" w:before="0" w:line="240" w:lineRule="auto"/>
        <w:ind w:firstLine="0"/>
        <w:jc w:val="left"/>
      </w:pPr>
      <w:r>
        <w:rPr>
          <w:rFonts w:ascii="Times New Roman" w:hAnsi="Times New Roman" w:eastAsia="Times New Roman"/>
          <w:b w:val="0"/>
          <w:i w:val="0"/>
          <w:sz w:val="23"/>
        </w:rPr>
        <w:t>For each outcome, a separate negative-binomial model was fitted for each of the six exposures. The log mean monthly count included the log number of days in the month as an offset, calendar-month indicators and a natural cubic spline of calendar time with four degrees of freedom. January was the reference calendar month. Each model contained one exposure, rather than a joint temperature/extreme-day panel.</w:t>
      </w:r>
    </w:p>
    <w:p>
      <w:pPr>
        <w:keepNext/>
        <w:jc w:val="center"/>
      </w:pPr>
      <m:oMath>
        <m:r>
          <m:t>log E(</m:t>
        </m:r>
        <m:sSub>
          <m:e>
            <m:r>
              <m:t>Y</m:t>
            </m:r>
          </m:e>
          <m:sub>
            <m:r>
              <m:t>t</m:t>
            </m:r>
          </m:sub>
        </m:sSub>
        <m:r>
          <m:t>) = log(</m:t>
        </m:r>
        <m:sSub>
          <m:e>
            <m:r>
              <m:t>d</m:t>
            </m:r>
          </m:e>
          <m:sub>
            <m:r>
              <m:t>t</m:t>
            </m:r>
          </m:sub>
        </m:sSub>
        <m:r>
          <m:t>) + α + β</m:t>
        </m:r>
        <m:sSub>
          <m:e>
            <m:r>
              <m:t>X</m:t>
            </m:r>
          </m:e>
          <m:sub>
            <m:r>
              <m:t>t</m:t>
            </m:r>
          </m:sub>
        </m:sSub>
        <m:r>
          <m:t> + </m:t>
        </m:r>
        <m:sSubSup>
          <m:e>
            <m:r>
              <m:t>Σ</m:t>
            </m:r>
          </m:e>
          <m:sub>
            <m:r>
              <m:t>m = 2</m:t>
            </m:r>
          </m:sub>
          <m:sup>
            <m:r>
              <m:t>12</m:t>
            </m:r>
          </m:sup>
        </m:sSubSup>
        <m:sSub>
          <m:e>
            <m:r>
              <m:t>γ</m:t>
            </m:r>
          </m:e>
          <m:sub>
            <m:r>
              <m:t>m</m:t>
            </m:r>
          </m:sub>
        </m:sSub>
        <m:r>
          <m:t> I(</m:t>
        </m:r>
        <m:sSub>
          <m:e>
            <m:r>
              <m:t>month</m:t>
            </m:r>
          </m:e>
          <m:sub>
            <m:r>
              <m:t>t</m:t>
            </m:r>
          </m:sub>
        </m:sSub>
        <m:r>
          <m:t> = m) + s(t; 4 df).   (1)</m:t>
        </m:r>
      </m:oMath>
    </w:p>
    <w:p>
      <w:pPr>
        <w:spacing w:after="160" w:before="0" w:line="240" w:lineRule="auto"/>
        <w:ind w:firstLine="0"/>
        <w:jc w:val="left"/>
      </w:pPr>
      <w:r>
        <w:rPr>
          <w:rFonts w:ascii="Times New Roman" w:hAnsi="Times New Roman" w:eastAsia="Times New Roman"/>
          <w:b w:val="0"/>
          <w:i w:val="0"/>
          <w:sz w:val="23"/>
        </w:rPr>
        <w:t>Here Yₜ is the monthly first-hospitalisation count, dₜ is days in that month, Xₜ is one exposure, and s(t; 4 df) represents the time spline. Exponentiated exposure coefficients were reported per 1°C for continuous measures and per five additional official days. The days offset controls calendar duration; it does not supply the eligible person-time denominator needed for incidence rates. Coefficients are conditional count ratios for the supplied ecological series.</w:t>
      </w:r>
    </w:p>
    <w:p>
      <w:pPr>
        <w:spacing w:after="160" w:before="0" w:line="240" w:lineRule="auto"/>
        <w:ind w:firstLine="0"/>
        <w:jc w:val="left"/>
      </w:pPr>
      <w:r>
        <w:rPr>
          <w:rFonts w:ascii="Times New Roman" w:hAnsi="Times New Roman" w:eastAsia="Times New Roman"/>
          <w:b w:val="0"/>
          <w:i w:val="0"/>
          <w:sz w:val="23"/>
        </w:rPr>
        <w:t>The same specification was refitted on January 2013–December 2019. The natural spline's knots and boundary basis were reconstructed on those 84 months. The nested and full fits consequently differ in observations, exposure support and temporal basis. Their coefficients were retained as analysis-window sensitivities, not subtracted to estimate a period effect. No 2020–2023-only model or exposure-by-period interaction was available. Interval overlap and a change in whether an interval contains one were not tests of a window difference.</w:t>
      </w:r>
    </w:p>
    <w:p>
      <w:pPr>
        <w:pStyle w:val="Heading2"/>
        <w:keepNext/>
        <w:keepLines/>
        <w:spacing w:after="120" w:before="160" w:line="240" w:lineRule="auto"/>
        <w:ind w:firstLine="0"/>
        <w:jc w:val="left"/>
      </w:pPr>
      <w:r>
        <w:rPr>
          <w:rFonts w:ascii="Times New Roman" w:hAnsi="Times New Roman" w:eastAsia="Times New Roman"/>
          <w:b/>
          <w:i w:val="0"/>
          <w:sz w:val="23"/>
        </w:rPr>
        <w:t>Uncertainty and model criticism</w:t>
      </w:r>
    </w:p>
    <w:p>
      <w:pPr>
        <w:spacing w:after="160" w:before="0" w:line="240" w:lineRule="auto"/>
        <w:ind w:firstLine="0"/>
        <w:jc w:val="left"/>
      </w:pPr>
      <w:r>
        <w:rPr>
          <w:rFonts w:ascii="Times New Roman" w:hAnsi="Times New Roman" w:eastAsia="Times New Roman"/>
          <w:b w:val="0"/>
          <w:i w:val="0"/>
          <w:sz w:val="23"/>
        </w:rPr>
        <w:t>Nominal pointwise 95% confidence intervals used a normal-reference Wald construction from the model covariance, HC1 covariance and Newey–West covariance with three- and six-month lags [16]. The Newey–West calculations used no prewhitening and applied the finite-sample adjustment. Lag-six intervals were the common display convention. Benjamini–Hochberg adjustment covered the twelve full-window two-sided lag-six Wald p-values for zero exposure coefficient [17]. It did not adjust interval endpoints. That family included both outcomes and all six exposures. Other covariance constructions, nested fits and calendar sensitivities remained exploratory and outside that adjusted family.</w:t>
      </w:r>
    </w:p>
    <w:p>
      <w:pPr>
        <w:spacing w:after="160" w:before="0" w:line="240" w:lineRule="auto"/>
        <w:ind w:firstLine="0"/>
        <w:jc w:val="left"/>
      </w:pPr>
      <w:r>
        <w:rPr>
          <w:rFonts w:ascii="Times New Roman" w:hAnsi="Times New Roman" w:eastAsia="Times New Roman"/>
          <w:b w:val="0"/>
          <w:i w:val="0"/>
          <w:sz w:val="23"/>
        </w:rPr>
        <w:t>Existing calendar checks replaced the four-degree-of-freedom time spline with three, six or eight degrees of freedom or year indicators; omitted the first twelve or twenty-four months; or added COVID-phase intercepts in the full series. The five intercept periods ended in January 2020, December 2021, April 2022 and December 2022, with the last beginning in January 2023. These intercepts did not form a separately fitted later-era series. Calendar and omission alternatives were reported together rather than selected according to interval exclusion.</w:t>
      </w:r>
    </w:p>
    <w:p>
      <w:pPr>
        <w:spacing w:after="160" w:before="0" w:line="240" w:lineRule="auto"/>
        <w:ind w:firstLine="0"/>
        <w:jc w:val="left"/>
      </w:pPr>
      <w:r>
        <w:rPr>
          <w:rFonts w:ascii="Times New Roman" w:hAnsi="Times New Roman" w:eastAsia="Times New Roman"/>
          <w:b w:val="0"/>
          <w:i w:val="0"/>
          <w:sz w:val="23"/>
        </w:rPr>
        <w:t>The displayed model-criticism examples were HF cold days and CHD hot nights, which had been discussed in the preceding exploratory analysis. Their selection for display did not establish a new inferential family. All official-day calendar results and all baseline uncertainty constructions were retained in the supplement. Released diagnostics comprised convergence, negative-binomial dispersion parameter, Pearson dispersion, residual autocorrelation and Ljung–Box statistics. Residual statistics were not treated as a substitute for score-based covariance assessment or simulation calibration. Analyses used R, MASS negative-binomial regression, natural splines and sandwich covariance estimators. Released metadata record window lengths, rather than verified fitted-observation counts; complete-case handling and the original package versions were not independently documented.</w:t>
      </w:r>
    </w:p>
    <w:p>
      <w:pPr>
        <w:pStyle w:val="Heading1"/>
        <w:keepNext/>
        <w:keepLines/>
        <w:spacing w:after="120" w:before="240" w:line="240" w:lineRule="auto"/>
        <w:ind w:firstLine="0"/>
        <w:jc w:val="left"/>
      </w:pPr>
      <w:r>
        <w:rPr>
          <w:rFonts w:ascii="Times New Roman" w:hAnsi="Times New Roman" w:eastAsia="Times New Roman"/>
          <w:b/>
          <w:i w:val="0"/>
          <w:sz w:val="27"/>
        </w:rPr>
        <w:t>Data availability</w:t>
      </w:r>
    </w:p>
    <w:p>
      <w:pPr>
        <w:spacing w:after="160" w:before="0" w:line="240" w:lineRule="auto"/>
        <w:ind w:firstLine="0"/>
        <w:jc w:val="left"/>
      </w:pPr>
      <w:r>
        <w:rPr>
          <w:rFonts w:ascii="Times New Roman" w:hAnsi="Times New Roman" w:eastAsia="Times New Roman"/>
          <w:b w:val="0"/>
          <w:i w:val="0"/>
          <w:sz w:val="23"/>
        </w:rPr>
        <w:t>The aggregate descriptive and model summaries supporting the figures and tables are available in the Laidlaw Heat Project repository. Individual records and the underlying governed monthly hospitalisation files are not reproduced. Access to underlying health data is controlled by the data custodian. Environmental sources are the Hong Kong Observatory, Environmental Protection Department and Centre for Health Protection.</w:t>
      </w:r>
    </w:p>
    <w:p>
      <w:pPr>
        <w:pStyle w:val="Heading1"/>
        <w:keepNext/>
        <w:keepLines/>
        <w:spacing w:after="120" w:before="240" w:line="240" w:lineRule="auto"/>
        <w:ind w:firstLine="0"/>
        <w:jc w:val="left"/>
      </w:pPr>
      <w:r>
        <w:rPr>
          <w:rFonts w:ascii="Times New Roman" w:hAnsi="Times New Roman" w:eastAsia="Times New Roman"/>
          <w:b/>
          <w:i w:val="0"/>
          <w:sz w:val="27"/>
        </w:rPr>
        <w:t>Code availability</w:t>
      </w:r>
    </w:p>
    <w:p>
      <w:pPr>
        <w:spacing w:after="160" w:before="0" w:line="240" w:lineRule="auto"/>
        <w:ind w:firstLine="0"/>
        <w:jc w:val="left"/>
      </w:pPr>
      <w:r>
        <w:rPr>
          <w:rFonts w:ascii="Times New Roman" w:hAnsi="Times New Roman" w:eastAsia="Times New Roman"/>
          <w:b w:val="0"/>
          <w:i w:val="0"/>
          <w:sz w:val="23"/>
        </w:rPr>
        <w:t>The analysis and figure code is available at https://github.com/bobshenruililin/Laidlaw-Heat-Project. The completed analysis summaries are distinguished from prospective scripts that have not generated results for this article. Figure source tables retain the reported quantities and provenance needed to reproduce the displays from released summaries.</w:t>
      </w:r>
    </w:p>
    <w:p>
      <w:pPr>
        <w:pStyle w:val="Heading1"/>
        <w:keepNext/>
        <w:keepLines/>
        <w:spacing w:after="120" w:before="240" w:line="240" w:lineRule="auto"/>
        <w:ind w:firstLine="0"/>
        <w:jc w:val="left"/>
      </w:pPr>
      <w:r>
        <w:rPr>
          <w:rFonts w:ascii="Times New Roman" w:hAnsi="Times New Roman" w:eastAsia="Times New Roman"/>
          <w:b/>
          <w:i w:val="0"/>
          <w:sz w:val="27"/>
        </w:rPr>
        <w:t>References</w:t>
      </w:r>
    </w:p>
    <w:p>
      <w:pPr>
        <w:spacing w:after="160" w:before="0" w:line="240" w:lineRule="auto"/>
        <w:ind w:firstLine="0"/>
        <w:jc w:val="left"/>
      </w:pPr>
      <w:r>
        <w:rPr>
          <w:rFonts w:ascii="Times New Roman" w:hAnsi="Times New Roman" w:eastAsia="Times New Roman"/>
          <w:b w:val="0"/>
          <w:i w:val="0"/>
          <w:sz w:val="21"/>
        </w:rPr>
        <w:t>1. Xin H, Wu P, Wong JY, et al. Hospitalizations and mortality during the first year of the COVID-19 pandemic in Hong Kong, China: An observational study. Lancet Reg Health West Pac. 2023;30:100645. doi:10.1016/j.lanwpc.2022.100645</w:t>
      </w:r>
    </w:p>
    <w:p>
      <w:pPr>
        <w:spacing w:after="160" w:before="0" w:line="240" w:lineRule="auto"/>
        <w:ind w:firstLine="0"/>
        <w:jc w:val="left"/>
      </w:pPr>
      <w:r>
        <w:rPr>
          <w:rFonts w:ascii="Times New Roman" w:hAnsi="Times New Roman" w:eastAsia="Times New Roman"/>
          <w:b w:val="0"/>
          <w:i w:val="0"/>
          <w:sz w:val="21"/>
        </w:rPr>
        <w:t>2. Wai AKC, Wong CKH, Wong JYH, et al. Changes in emergency department visits, diagnostic groups, and 28-day mortality associated with the COVID-19 pandemic. Ann Emerg Med. 2022;79:148–157. doi:10.1016/j.annemergmed.2021.09.424</w:t>
      </w:r>
    </w:p>
    <w:p>
      <w:pPr>
        <w:spacing w:after="160" w:before="0" w:line="240" w:lineRule="auto"/>
        <w:ind w:firstLine="0"/>
        <w:jc w:val="left"/>
      </w:pPr>
      <w:r>
        <w:rPr>
          <w:rFonts w:ascii="Times New Roman" w:hAnsi="Times New Roman" w:eastAsia="Times New Roman"/>
          <w:b w:val="0"/>
          <w:i w:val="0"/>
          <w:sz w:val="21"/>
        </w:rPr>
        <w:t>3. Youn HM, Hu Z, Park YS, et al. Indirect Impact of the COVID-19 Pandemic on All-Cause Mortality and Cardiovascular Disease Among People With Diabetes Mellitus From Korea and Hong Kong: An Interrupted Time Series Analysis. Health Sci Rep. 2025;8:e71291. doi:10.1002/hsr2.71291</w:t>
      </w:r>
    </w:p>
    <w:p>
      <w:pPr>
        <w:spacing w:after="160" w:before="0" w:line="240" w:lineRule="auto"/>
        <w:ind w:firstLine="0"/>
        <w:jc w:val="left"/>
      </w:pPr>
      <w:r>
        <w:rPr>
          <w:rFonts w:ascii="Times New Roman" w:hAnsi="Times New Roman" w:eastAsia="Times New Roman"/>
          <w:b w:val="0"/>
          <w:i w:val="0"/>
          <w:sz w:val="21"/>
        </w:rPr>
        <w:t>4. Hu Z, Yau YK, Quan J, et al. Indirect effect of the COVID-19 pandemic on cardiovascular diseases incidence, mortality, and healthcare use among patients with hypertension but without SARS-CoV-2 infection in Hong Kong: an interrupted time series analysis. Hypertens Res. 2025;48:2197–2208. doi:10.1038/s41440-025-02230-y</w:t>
      </w:r>
    </w:p>
    <w:p>
      <w:pPr>
        <w:spacing w:after="160" w:before="0" w:line="240" w:lineRule="auto"/>
        <w:ind w:firstLine="0"/>
        <w:jc w:val="left"/>
      </w:pPr>
      <w:r>
        <w:rPr>
          <w:rFonts w:ascii="Times New Roman" w:hAnsi="Times New Roman" w:eastAsia="Times New Roman"/>
          <w:b w:val="0"/>
          <w:i w:val="0"/>
          <w:sz w:val="21"/>
        </w:rPr>
        <w:t>5. Yau YK, Li M, Quan J, et al. Association of Reduction in Continuity of Care During COVID-19 Pandemic With Cardiovascular Diseases, Kidney Failure and All-Cause Mortality for People With Diabetes: A Cohort Study in Hong Kong. Diabetes Obes Metab. 2026;28:8016–8024. doi:10.1111/dom.70984</w:t>
      </w:r>
    </w:p>
    <w:p>
      <w:pPr>
        <w:spacing w:after="160" w:before="0" w:line="240" w:lineRule="auto"/>
        <w:ind w:firstLine="0"/>
        <w:jc w:val="left"/>
      </w:pPr>
      <w:r>
        <w:rPr>
          <w:rFonts w:ascii="Times New Roman" w:hAnsi="Times New Roman" w:eastAsia="Times New Roman"/>
          <w:b w:val="0"/>
          <w:i w:val="0"/>
          <w:sz w:val="21"/>
        </w:rPr>
        <w:t>6. Huang H, Su HL, Huang CH, Lin YH. Retrospective Study on the Impact of COVID-19 Lockdown on Patients with Type 2 Diabetes in Northern Taiwan. Diabetes Metab Syndr Obes. 2023;16:2539–2547. doi:10.2147/DMSO.S422617</w:t>
      </w:r>
    </w:p>
    <w:p>
      <w:pPr>
        <w:spacing w:after="160" w:before="0" w:line="240" w:lineRule="auto"/>
        <w:ind w:firstLine="0"/>
        <w:jc w:val="left"/>
      </w:pPr>
      <w:r>
        <w:rPr>
          <w:rFonts w:ascii="Times New Roman" w:hAnsi="Times New Roman" w:eastAsia="Times New Roman"/>
          <w:b w:val="0"/>
          <w:i w:val="0"/>
          <w:sz w:val="21"/>
        </w:rPr>
        <w:t>7. Ohkuma K, Sawada M, Aihara M, et al. Impact of the COVID-19 pandemic on the glycemic control in people with diabetes mellitus: A retrospective cohort study. J Diabetes Investig. 2023;14:985–993. doi:10.1111/jdi.14021</w:t>
      </w:r>
    </w:p>
    <w:p>
      <w:pPr>
        <w:spacing w:after="160" w:before="0" w:line="240" w:lineRule="auto"/>
        <w:ind w:firstLine="0"/>
        <w:jc w:val="left"/>
      </w:pPr>
      <w:r>
        <w:rPr>
          <w:rFonts w:ascii="Times New Roman" w:hAnsi="Times New Roman" w:eastAsia="Times New Roman"/>
          <w:b w:val="0"/>
          <w:i w:val="0"/>
          <w:sz w:val="21"/>
        </w:rPr>
        <w:t>8. Wong CM, Lai KPL, Luk MHM, et al. Impact of COVID-19 pandemic on glycaemic and blood pressure control among patients with type 2 diabetes in primary care in Hong Kong. BMC Prim Care. 2025;26:182. doi:10.1186/s12875-025-02893-z</w:t>
      </w:r>
    </w:p>
    <w:p>
      <w:pPr>
        <w:spacing w:after="160" w:before="0" w:line="240" w:lineRule="auto"/>
        <w:ind w:firstLine="0"/>
        <w:jc w:val="left"/>
      </w:pPr>
      <w:r>
        <w:rPr>
          <w:rFonts w:ascii="Times New Roman" w:hAnsi="Times New Roman" w:eastAsia="Times New Roman"/>
          <w:b w:val="0"/>
          <w:i w:val="0"/>
          <w:sz w:val="21"/>
        </w:rPr>
        <w:t>9. Lui DTW, Lee CH, Wong Y, et al. A Prospective 1-Year Follow-up of Glycemic Status and C-Peptide Levels of COVID-19 Survivors with Dysglycemia in Acute COVID-19 Infection. Diabetes Metab J. 2024;48:763–770. doi:10.4093/dmj.2023.0175</w:t>
      </w:r>
    </w:p>
    <w:p>
      <w:pPr>
        <w:spacing w:after="160" w:before="0" w:line="240" w:lineRule="auto"/>
        <w:ind w:firstLine="0"/>
        <w:jc w:val="left"/>
      </w:pPr>
      <w:r>
        <w:rPr>
          <w:rFonts w:ascii="Times New Roman" w:hAnsi="Times New Roman" w:eastAsia="Times New Roman"/>
          <w:b w:val="0"/>
          <w:i w:val="0"/>
          <w:sz w:val="21"/>
        </w:rPr>
        <w:t>10. Cowling BJ, Ali ST, Ng TWY, et al. Impact assessment of non-pharmaceutical interventions against coronavirus disease 2019 and influenza in Hong Kong: an observational study. Lancet Public Health. 2020;5:e279–e288. doi:10.1016/S2468-2667(20)30090-6</w:t>
      </w:r>
    </w:p>
    <w:p>
      <w:pPr>
        <w:spacing w:after="160" w:before="0" w:line="240" w:lineRule="auto"/>
        <w:ind w:firstLine="0"/>
        <w:jc w:val="left"/>
      </w:pPr>
      <w:r>
        <w:rPr>
          <w:rFonts w:ascii="Times New Roman" w:hAnsi="Times New Roman" w:eastAsia="Times New Roman"/>
          <w:b w:val="0"/>
          <w:i w:val="0"/>
          <w:sz w:val="21"/>
        </w:rPr>
        <w:t>11. Kwong JC, Schwartz KL, Campitelli MA, et al. Acute Myocardial Infarction after Laboratory-Confirmed Influenza Infection. N Engl J Med. 2018;378:345–353. doi:10.1056/NEJMoa1702090</w:t>
      </w:r>
    </w:p>
    <w:p>
      <w:pPr>
        <w:spacing w:after="160" w:before="0" w:line="240" w:lineRule="auto"/>
        <w:ind w:firstLine="0"/>
        <w:jc w:val="left"/>
      </w:pPr>
      <w:r>
        <w:rPr>
          <w:rFonts w:ascii="Times New Roman" w:hAnsi="Times New Roman" w:eastAsia="Times New Roman"/>
          <w:b w:val="0"/>
          <w:i w:val="0"/>
          <w:sz w:val="21"/>
        </w:rPr>
        <w:t>12. Kytömaa S, Hegde S, Claggett B, et al. Association of Influenza-like Illness Activity With Hospitalizations for Heart Failure: The Atherosclerosis Risk in Communities Study. JAMA Cardiol. 2019;4:363–369. doi:10.1001/jamacardio.2019.0549</w:t>
      </w:r>
    </w:p>
    <w:p>
      <w:pPr>
        <w:spacing w:after="160" w:before="0" w:line="240" w:lineRule="auto"/>
        <w:ind w:firstLine="0"/>
        <w:jc w:val="left"/>
      </w:pPr>
      <w:r>
        <w:rPr>
          <w:rFonts w:ascii="Times New Roman" w:hAnsi="Times New Roman" w:eastAsia="Times New Roman"/>
          <w:b w:val="0"/>
          <w:i w:val="0"/>
          <w:sz w:val="21"/>
        </w:rPr>
        <w:t>13. Wan EYF, Mok AHY, Yan VKC, et al. Association between BNT162b2 and CoronaVac vaccination and risk of CVD and mortality after COVID-19 infection: A population-based cohort study. Cell Rep Med. 2023;4:101195. doi:10.1016/j.xcrm.2023.101195</w:t>
      </w:r>
    </w:p>
    <w:p>
      <w:pPr>
        <w:spacing w:after="160" w:before="0" w:line="240" w:lineRule="auto"/>
        <w:ind w:firstLine="0"/>
        <w:jc w:val="left"/>
      </w:pPr>
      <w:r>
        <w:rPr>
          <w:rFonts w:ascii="Times New Roman" w:hAnsi="Times New Roman" w:eastAsia="Times New Roman"/>
          <w:b w:val="0"/>
          <w:i w:val="0"/>
          <w:sz w:val="21"/>
        </w:rPr>
        <w:t>14. Goggins WB, Chan EYY. A study of the short-term associations between hospital admissions and mortality from heart failure and meteorological variables in Hong Kong. Int J Cardiol. 2017;228:537–542. doi:10.1016/j.ijcard.2016.11.106</w:t>
      </w:r>
    </w:p>
    <w:p>
      <w:pPr>
        <w:spacing w:after="160" w:before="0" w:line="240" w:lineRule="auto"/>
        <w:ind w:firstLine="0"/>
        <w:jc w:val="left"/>
      </w:pPr>
      <w:r>
        <w:rPr>
          <w:rFonts w:ascii="Times New Roman" w:hAnsi="Times New Roman" w:eastAsia="Times New Roman"/>
          <w:b w:val="0"/>
          <w:i w:val="0"/>
          <w:sz w:val="21"/>
        </w:rPr>
        <w:t>15. Guo YT, Chan KH, Qiu H, Wong ELY, Ho KF. The risk of hospitalization associated with hot nights and excess nighttime heat in a subtropical metropolis: a time-series study in Hong Kong, 2000–2019. Lancet Reg Health West Pac. 2024;51:101168. doi:10.1016/j.lanwpc.2024.101168</w:t>
      </w:r>
    </w:p>
    <w:p>
      <w:pPr>
        <w:spacing w:after="160" w:before="0" w:line="240" w:lineRule="auto"/>
        <w:ind w:firstLine="0"/>
        <w:jc w:val="left"/>
      </w:pPr>
      <w:r>
        <w:rPr>
          <w:rFonts w:ascii="Times New Roman" w:hAnsi="Times New Roman" w:eastAsia="Times New Roman"/>
          <w:b w:val="0"/>
          <w:i w:val="0"/>
          <w:sz w:val="21"/>
        </w:rPr>
        <w:t>16. Newey WK, West KD. A simple, positive semi-definite, heteroskedasticity and autocorrelation consistent covariance matrix. Econometrica. 1987;55:703–708. doi:10.2307/1913610</w:t>
      </w:r>
    </w:p>
    <w:p>
      <w:pPr>
        <w:spacing w:after="160" w:before="0" w:line="240" w:lineRule="auto"/>
        <w:ind w:firstLine="0"/>
        <w:jc w:val="left"/>
      </w:pPr>
      <w:r>
        <w:rPr>
          <w:rFonts w:ascii="Times New Roman" w:hAnsi="Times New Roman" w:eastAsia="Times New Roman"/>
          <w:b w:val="0"/>
          <w:i w:val="0"/>
          <w:sz w:val="21"/>
        </w:rPr>
        <w:t>17. Benjamini Y, Hochberg Y. Controlling the false discovery rate: a practical and powerful approach to multiple testing. J R Stat Soc Series B. 1995;57:289–300. doi:10.1111/j.2517-6161.1995.tb02031.x</w:t>
      </w:r>
    </w:p>
    <w:sectPr w:rsidR="00FC693F" w:rsidRPr="0006063C" w:rsidSect="00034616">
      <w:headerReference w:type="default" r:id="rId9"/>
      <w:footerReference w:type="default" r:id="rId10"/>
      <w:pgSz w:w="11906" w:h="16838"/>
      <w:pgMar w:top="1440" w:right="1080" w:bottom="1440" w:left="108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left"/>
      <w:tabs>
        <w:tab w:val="right" w:pos="9360"/>
      </w:tabs>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Recorded first hospitalisations after cardiovascular diagnosis before and during COVID-19 in Hong Kong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