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0"/>
      </w:pPr>
      <w:r>
        <w:rPr>
          <w:rFonts w:ascii="Times New Roman" w:hAnsi="Times New Roman" w:eastAsia="Times New Roman"/>
          <w:b w:val="0"/>
          <w:i w:val="0"/>
          <w:sz w:val="32"/>
        </w:rPr>
        <w:t>Supplementary results for first hospitalisation counts before and during the COVID pandemic</w:t>
      </w:r>
    </w:p>
    <w:p>
      <w:pPr>
        <w:spacing w:after="160" w:before="0" w:line="240" w:lineRule="auto"/>
        <w:ind w:firstLine="0"/>
        <w:jc w:val="left"/>
      </w:pPr>
      <w:r>
        <w:rPr>
          <w:rFonts w:ascii="Times New Roman" w:hAnsi="Times New Roman" w:eastAsia="Times New Roman"/>
          <w:b w:val="0"/>
          <w:i w:val="0"/>
          <w:sz w:val="23"/>
        </w:rPr>
        <w:t>The tables distinguish disjoint descriptive periods from overlapping model fits. Confidence intervals are nominal pointwise 95% normal-reference Wald intervals for exploratory associations; no later-era effect is inferred by subtracting nested coefficients.</w:t>
      </w:r>
    </w:p>
    <w:p>
      <w:pPr>
        <w:pStyle w:val="Heading1"/>
        <w:keepNext/>
        <w:keepLines/>
        <w:spacing w:after="120" w:before="240" w:line="240" w:lineRule="auto"/>
        <w:ind w:firstLine="0"/>
        <w:jc w:val="left"/>
      </w:pPr>
      <w:r>
        <w:rPr>
          <w:rFonts w:ascii="Times New Roman" w:hAnsi="Times New Roman" w:eastAsia="Times New Roman"/>
          <w:b/>
          <w:i w:val="0"/>
          <w:sz w:val="27"/>
        </w:rPr>
        <w:t>Annual recorded counts</w:t>
      </w:r>
    </w:p>
    <w:p>
      <w:pPr>
        <w:keepNext/>
        <w:keepLines/>
        <w:spacing w:after="120" w:before="0" w:line="240" w:lineRule="auto"/>
        <w:ind w:firstLine="0"/>
        <w:jc w:val="left"/>
      </w:pPr>
      <w:r>
        <w:rPr>
          <w:rFonts w:ascii="Times New Roman" w:hAnsi="Times New Roman" w:eastAsia="Times New Roman"/>
          <w:b w:val="0"/>
          <w:i/>
          <w:sz w:val="21"/>
        </w:rPr>
        <w:t>Supplementary Table S1. Annual recorded first hospitalisations after coronary heart disease (CHD) or heart failure (HF) diagnosis, 2013–2023. Each total is the sum of twelve supplied monthly counts. Admission cause and eligible person-time were unavailable; no incidence rate or unique combined patient count is implied.</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068"/>
        <w:gridCol w:w="4068"/>
      </w:tblGrid>
      <w:tr>
        <w:trPr>
          <w:cantSplit/>
          <w:tblHeader/>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Year</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CHD first hospitalisations</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HF first hospitalisations</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2013</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23,830</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4,336</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2014</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17,760</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3,675</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2015</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15,411</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2,934</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2016</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14,510</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2,734</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2017</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13,962</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2,620</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2018</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12,616</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2,527</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2019</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12,396</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2,344</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2020</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10,237</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1,964</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2021</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12,035</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2,275</w:t>
            </w:r>
          </w:p>
        </w:tc>
      </w:tr>
      <w:tr>
        <w:trPr>
          <w:cantSplit/>
        </w:trPr>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2022</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11,076</w:t>
            </w:r>
          </w:p>
        </w:tc>
        <w:tc>
          <w:tcPr>
            <w:tcW w:type="dxa" w:w="406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1,976</w:t>
            </w:r>
          </w:p>
        </w:tc>
      </w:tr>
      <w:tr>
        <w:trPr>
          <w:cantSplit/>
        </w:trPr>
        <w:tc>
          <w:tcPr>
            <w:tcW w:type="dxa" w:w="1224"/>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2023</w:t>
            </w:r>
          </w:p>
        </w:tc>
        <w:tc>
          <w:tcPr>
            <w:tcW w:type="dxa" w:w="4068"/>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12,323</w:t>
            </w:r>
          </w:p>
        </w:tc>
        <w:tc>
          <w:tcPr>
            <w:tcW w:type="dxa" w:w="4068"/>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2,296</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Descriptive periods</w:t>
      </w:r>
    </w:p>
    <w:p>
      <w:pPr>
        <w:keepNext/>
        <w:keepLines/>
        <w:spacing w:after="120" w:before="0" w:line="240" w:lineRule="auto"/>
        <w:ind w:firstLine="0"/>
        <w:jc w:val="left"/>
      </w:pPr>
      <w:r>
        <w:rPr>
          <w:rFonts w:ascii="Times New Roman" w:hAnsi="Times New Roman" w:eastAsia="Times New Roman"/>
          <w:b w:val="0"/>
          <w:i/>
          <w:sz w:val="21"/>
        </w:rPr>
        <w:t>Supplementary Table S2. Monthly mean recorded counts in non overlapping calendar periods. Coronary heart disease (CHD) and heart failure (HF) arithmetic means from aggregate period summaries.</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936"/>
        <w:gridCol w:w="3096"/>
        <w:gridCol w:w="3096"/>
      </w:tblGrid>
      <w:tr>
        <w:trPr>
          <w:cantSplit/>
          <w:tblHeader/>
        </w:trPr>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Period</w:t>
            </w:r>
          </w:p>
        </w:tc>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Months</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CHD monthly mean</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HF monthly mean</w:t>
            </w:r>
          </w:p>
        </w:tc>
      </w:tr>
      <w:tr>
        <w:trPr>
          <w:cantSplit/>
        </w:trPr>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2013–2019</w:t>
            </w:r>
          </w:p>
        </w:tc>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84</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1315.3</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252.0</w:t>
            </w:r>
          </w:p>
        </w:tc>
      </w:tr>
      <w:tr>
        <w:trPr>
          <w:cantSplit/>
        </w:trPr>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2020–2022</w:t>
            </w:r>
          </w:p>
        </w:tc>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36</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926.3</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172.6</w:t>
            </w:r>
          </w:p>
        </w:tc>
      </w:tr>
      <w:tr>
        <w:trPr>
          <w:cantSplit/>
        </w:trPr>
        <w:tc>
          <w:tcPr>
            <w:tcW w:type="dxa" w:w="223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2023</w:t>
            </w:r>
          </w:p>
        </w:tc>
        <w:tc>
          <w:tcPr>
            <w:tcW w:type="dxa" w:w="93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12</w:t>
            </w:r>
          </w:p>
        </w:tc>
        <w:tc>
          <w:tcPr>
            <w:tcW w:type="dxa" w:w="309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1026.9</w:t>
            </w:r>
          </w:p>
        </w:tc>
        <w:tc>
          <w:tcPr>
            <w:tcW w:type="dxa" w:w="309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191.3</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Complete baseline panel</w:t>
      </w:r>
    </w:p>
    <w:p>
      <w:pPr>
        <w:keepNext/>
        <w:keepLines/>
        <w:spacing w:after="120" w:before="0" w:line="240" w:lineRule="auto"/>
        <w:ind w:firstLine="0"/>
        <w:jc w:val="left"/>
      </w:pPr>
      <w:r>
        <w:rPr>
          <w:rFonts w:ascii="Times New Roman" w:hAnsi="Times New Roman" w:eastAsia="Times New Roman"/>
          <w:b w:val="0"/>
          <w:i/>
          <w:sz w:val="21"/>
        </w:rPr>
        <w:t>Supplementary Table S3. All twelve baseline weather models, January 2013–December 2023. CHD denotes coronary heart disease; HF denotes heart failure. Days-in-month offset, calendar-month indicators, four-degree-of-freedom natural time spline; Newey–West lag-six intervals. BH q-values cover these twelve two-sided Wald tests of zero exposure coefficient only; interval endpoints are not multiplicity-adjusted. The window spans 132 calendar months, not 132 independent replicates.</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232"/>
        <w:gridCol w:w="3456"/>
        <w:gridCol w:w="1224"/>
        <w:gridCol w:w="1512"/>
      </w:tblGrid>
      <w:tr>
        <w:trPr>
          <w:cantSplit/>
          <w:tblHeader/>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Outcome</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Exposure</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Count ratio and 95% CI</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p</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BH q</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(0.976–1.010)</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0.424</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0.726</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(0.979–1.007)</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0.321</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0.642</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0.994 (0.977–1.012)</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0.509</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0.764</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1.022 (1.002–1.042)</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0.032</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0.192</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0.999 (0.974–1.025)</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0.962</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0.962</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Cold days / 5 days</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(0.949–1.043)</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0.823</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0.900</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0.974 (0.947–1.002)</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0.069</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0.207</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0.981 (0.958–1.005)</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0.113</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0.272</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 / 1°C</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0.973 (0.947–1.000)</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0.050</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0.202</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1.003 (0.976–1.031)</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0.825</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0.900</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34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(0.963–1.028)</w:t>
            </w:r>
          </w:p>
        </w:tc>
        <w:tc>
          <w:tcPr>
            <w:tcW w:type="dxa" w:w="122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0.764</w:t>
            </w:r>
          </w:p>
        </w:tc>
        <w:tc>
          <w:tcPr>
            <w:tcW w:type="dxa" w:w="151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0.900</w:t>
            </w:r>
          </w:p>
        </w:tc>
      </w:tr>
      <w:tr>
        <w:trPr>
          <w:cantSplit/>
        </w:trPr>
        <w:tc>
          <w:tcPr>
            <w:tcW w:type="dxa" w:w="93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HF</w:t>
            </w:r>
          </w:p>
        </w:tc>
        <w:tc>
          <w:tcPr>
            <w:tcW w:type="dxa" w:w="223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Cold days / 5 days</w:t>
            </w:r>
          </w:p>
        </w:tc>
        <w:tc>
          <w:tcPr>
            <w:tcW w:type="dxa" w:w="345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1.073 (1.006–1.144)</w:t>
            </w:r>
          </w:p>
        </w:tc>
        <w:tc>
          <w:tcPr>
            <w:tcW w:type="dxa" w:w="1224"/>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0.031</w:t>
            </w:r>
          </w:p>
        </w:tc>
        <w:tc>
          <w:tcPr>
            <w:tcW w:type="dxa" w:w="151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0.192</w:t>
            </w:r>
          </w:p>
        </w:tc>
      </w:tr>
    </w:tbl>
    <w:p>
      <w:pPr>
        <w:spacing w:after="120" w:before="0" w:line="240" w:lineRule="auto"/>
        <w:ind w:firstLine="0"/>
        <w:jc w:val="left"/>
      </w:pPr>
      <w:r>
        <w:rPr>
          <w:rFonts w:ascii="Times New Roman" w:hAnsi="Times New Roman" w:eastAsia="Times New Roman"/>
          <w:b w:val="0"/>
          <w:i w:val="0"/>
          <w:sz w:val="4"/>
        </w:rPr>
      </w:r>
    </w:p>
    <w:p>
      <w:pPr>
        <w:spacing w:after="160" w:before="0" w:line="240" w:lineRule="auto"/>
        <w:ind w:firstLine="0"/>
        <w:jc w:val="left"/>
      </w:pPr>
      <w:r>
        <w:rPr>
          <w:rFonts w:ascii="Times New Roman" w:hAnsi="Times New Roman" w:eastAsia="Times New Roman"/>
          <w:b w:val="0"/>
          <w:i w:val="0"/>
          <w:sz w:val="23"/>
        </w:rPr>
        <w:t>The HF mean-minimum-temperature lag-six interval includes one on the unrounded scale; its upper bound is 1.0000496637 (Wald p = 0.0504). Rounding to 1.000 in Table S3 or 1.0000 in Table S6 does not change that interpretation.</w:t>
      </w:r>
    </w:p>
    <w:p>
      <w:pPr>
        <w:spacing w:after="160" w:before="0" w:line="240" w:lineRule="auto"/>
        <w:ind w:firstLine="0"/>
        <w:jc w:val="left"/>
      </w:pPr>
      <w:r>
        <w:rPr>
          <w:rFonts w:ascii="Times New Roman" w:hAnsi="Times New Roman" w:eastAsia="Times New Roman"/>
          <w:b w:val="0"/>
          <w:i w:val="0"/>
          <w:sz w:val="23"/>
        </w:rPr>
        <w:t>The nested pre-2020 continuous-temperature fits were CHD mean temperature 0.980 (0.970–0.990), mean maximum 0.982 (0.974–0.991), and mean minimum 0.982 (0.972–0.992); HF corresponding fits were 0.945 (0.927–0.963), 0.958 (0.939–0.977), 0.944 (0.927–0.961). These estimates are not multiplicity-adjusted or a later-era contrast.</w:t>
      </w:r>
    </w:p>
    <w:p>
      <w:pPr>
        <w:pStyle w:val="Heading1"/>
        <w:keepNext/>
        <w:keepLines/>
        <w:spacing w:after="120" w:before="240" w:line="240" w:lineRule="auto"/>
        <w:ind w:firstLine="0"/>
        <w:jc w:val="left"/>
      </w:pPr>
      <w:r>
        <w:rPr>
          <w:rFonts w:ascii="Times New Roman" w:hAnsi="Times New Roman" w:eastAsia="Times New Roman"/>
          <w:b/>
          <w:i w:val="0"/>
          <w:sz w:val="27"/>
        </w:rPr>
        <w:t>Overlapping analysis windows</w:t>
      </w:r>
    </w:p>
    <w:p>
      <w:pPr>
        <w:keepNext/>
        <w:keepLines/>
        <w:spacing w:after="120" w:before="0" w:line="240" w:lineRule="auto"/>
        <w:ind w:firstLine="0"/>
        <w:jc w:val="left"/>
      </w:pPr>
      <w:r>
        <w:rPr>
          <w:rFonts w:ascii="Times New Roman" w:hAnsi="Times New Roman" w:eastAsia="Times New Roman"/>
          <w:b w:val="0"/>
          <w:i/>
          <w:sz w:val="21"/>
        </w:rPr>
        <w:t>Supplementary Table S4. Official-day associations in nested (2013–2019) and full (2013–2023) windows. CHD denotes coronary heart disease; HF denotes heart failure. Ratios per five additional days with Newey–West lag-six 95% intervals. The pre-2020 window is contained within the full series, with a separately reconstructed spline basis. These are dependent sensitivity fits, not independent pre/post estimates.</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376"/>
        <w:gridCol w:w="3060"/>
        <w:gridCol w:w="3060"/>
      </w:tblGrid>
      <w:tr>
        <w:trPr>
          <w:cantSplit/>
          <w:tblHeader/>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Outcome</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Exposure</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Pre 2020 84 months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Full 132 months</w:t>
            </w:r>
          </w:p>
        </w:tc>
      </w:tr>
      <w:tr>
        <w:trPr>
          <w:cantSplit/>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1.011 (0.991–1.032)</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1.022 (1.002–1.042)</w:t>
            </w:r>
          </w:p>
        </w:tc>
      </w:tr>
      <w:tr>
        <w:trPr>
          <w:cantSplit/>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0.997 (0.982–1.012)</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0.999 (0.974–1.025)</w:t>
            </w:r>
          </w:p>
        </w:tc>
      </w:tr>
      <w:tr>
        <w:trPr>
          <w:cantSplit/>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Cold days / 5 days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1.036 (1.007–1.067)</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(0.949–1.043)</w:t>
            </w:r>
          </w:p>
        </w:tc>
      </w:tr>
      <w:tr>
        <w:trPr>
          <w:cantSplit/>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0.965 (0.937–0.994)</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1.003 (0.976–1.031)</w:t>
            </w:r>
          </w:p>
        </w:tc>
      </w:tr>
      <w:tr>
        <w:trPr>
          <w:cantSplit/>
        </w:trPr>
        <w:tc>
          <w:tcPr>
            <w:tcW w:type="dxa" w:w="8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7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0.990 (0.960–1.021)</w:t>
            </w:r>
          </w:p>
        </w:tc>
        <w:tc>
          <w:tcPr>
            <w:tcW w:type="dxa" w:w="306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(0.963–1.028)</w:t>
            </w:r>
          </w:p>
        </w:tc>
      </w:tr>
      <w:tr>
        <w:trPr>
          <w:cantSplit/>
        </w:trPr>
        <w:tc>
          <w:tcPr>
            <w:tcW w:type="dxa" w:w="864"/>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HF</w:t>
            </w:r>
          </w:p>
        </w:tc>
        <w:tc>
          <w:tcPr>
            <w:tcW w:type="dxa" w:w="237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Cold days / 5 days</w:t>
            </w:r>
          </w:p>
        </w:tc>
        <w:tc>
          <w:tcPr>
            <w:tcW w:type="dxa" w:w="306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1.113 (1.053–1.176)</w:t>
            </w:r>
          </w:p>
        </w:tc>
        <w:tc>
          <w:tcPr>
            <w:tcW w:type="dxa" w:w="306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1.073 (1.006–1.144)</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Calendar specification sensitivity</w:t>
      </w:r>
    </w:p>
    <w:p>
      <w:pPr>
        <w:keepNext/>
        <w:keepLines/>
        <w:spacing w:after="120" w:before="0" w:line="240" w:lineRule="auto"/>
        <w:ind w:firstLine="0"/>
        <w:jc w:val="left"/>
      </w:pPr>
      <w:r>
        <w:rPr>
          <w:rFonts w:ascii="Times New Roman" w:hAnsi="Times New Roman" w:eastAsia="Times New Roman"/>
          <w:b w:val="0"/>
          <w:i/>
          <w:sz w:val="21"/>
        </w:rPr>
        <w:t>Supplementary Table S5. Complete official day panel under alternative calendar specifications. Coronary heart disease (CHD) and heart failure (HF) ratios per five days with Newey–West lag-six intervals. The full series is January 2013–December 2023. Baseline and nested values are in Supplementary Table S4. Year indicators replace the spline. COVID-phase intercepts supplement the baseline in the full series; they are not a third window. Omission checks shorten the 132-calendar-month window to 120 or 108 months. These window lengths are not independently verified fitted-observation counts. These sensitivity estimates have no multiplicity adjustment.</w:t>
      </w:r>
    </w:p>
    <w:p>
      <w:pPr>
        <w:pStyle w:val="Heading2"/>
        <w:keepNext/>
        <w:keepLines/>
        <w:spacing w:after="120" w:before="160" w:line="240" w:lineRule="auto"/>
        <w:ind w:firstLine="0"/>
        <w:jc w:val="left"/>
      </w:pPr>
      <w:r>
        <w:rPr>
          <w:rFonts w:ascii="Times New Roman" w:hAnsi="Times New Roman" w:eastAsia="Times New Roman"/>
          <w:b/>
          <w:i w:val="0"/>
          <w:sz w:val="23"/>
        </w:rPr>
        <w:t>CHD</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275"/>
        <w:gridCol w:w="2275"/>
        <w:gridCol w:w="2289"/>
      </w:tblGrid>
      <w:tr>
        <w:trPr>
          <w:cantSplit/>
          <w:tblHeader/>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Specification</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Hot nights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Very hot days</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Cold days</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3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1.011 (0.990–1.032)</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(0.967–1.020)</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0.989 (0.934–1.046)</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6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1.024 (1.005–1.044)</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0.999 (0.975–1.023)</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0.999 (0.952–1.047)</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8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1.023 (1.005–1.042)</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0.997 (0.974–1.021)</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0.997 (0.950–1.047)</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Year indicators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1.025 (1.000–1.050)</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1.006 (0.983–1.029)</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0.994 (0.939–1.052)</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Omit first 12 months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1.020 (1.000–1.040)</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(0.969–1.022)</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1.008 (0.954–1.065)</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Omit first 24 months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1.017 (0.999–1.036)</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(0.966–1.020)</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0.989 (0.930–1.053)</w:t>
            </w:r>
          </w:p>
        </w:tc>
      </w:tr>
      <w:tr>
        <w:trPr>
          <w:cantSplit/>
        </w:trPr>
        <w:tc>
          <w:tcPr>
            <w:tcW w:type="dxa" w:w="252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COVID phase intercepts</w:t>
            </w:r>
          </w:p>
        </w:tc>
        <w:tc>
          <w:tcPr>
            <w:tcW w:type="dxa" w:w="2275"/>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1.013 (0.994–1.033)</w:t>
            </w:r>
          </w:p>
        </w:tc>
        <w:tc>
          <w:tcPr>
            <w:tcW w:type="dxa" w:w="2275"/>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0.993 (0.973–1.013)</w:t>
            </w:r>
          </w:p>
        </w:tc>
        <w:tc>
          <w:tcPr>
            <w:tcW w:type="dxa" w:w="229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0.991 (0.943–1.041)</w:t>
            </w:r>
          </w:p>
        </w:tc>
      </w:tr>
    </w:tbl>
    <w:p>
      <w:pPr>
        <w:spacing w:after="120" w:before="0" w:line="240" w:lineRule="auto"/>
        <w:ind w:firstLine="0"/>
        <w:jc w:val="left"/>
      </w:pPr>
      <w:r>
        <w:rPr>
          <w:rFonts w:ascii="Times New Roman" w:hAnsi="Times New Roman" w:eastAsia="Times New Roman"/>
          <w:b w:val="0"/>
          <w:i w:val="0"/>
          <w:sz w:val="4"/>
        </w:rPr>
      </w:r>
    </w:p>
    <w:p>
      <w:pPr>
        <w:pStyle w:val="Heading2"/>
        <w:keepNext/>
        <w:keepLines/>
        <w:spacing w:after="120" w:before="160" w:line="240" w:lineRule="auto"/>
        <w:ind w:firstLine="0"/>
        <w:jc w:val="left"/>
      </w:pPr>
      <w:r>
        <w:rPr>
          <w:rFonts w:ascii="Times New Roman" w:hAnsi="Times New Roman" w:eastAsia="Times New Roman"/>
          <w:b/>
          <w:i w:val="0"/>
          <w:sz w:val="23"/>
        </w:rPr>
        <w:t>HF</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275"/>
        <w:gridCol w:w="2275"/>
        <w:gridCol w:w="2289"/>
      </w:tblGrid>
      <w:tr>
        <w:trPr>
          <w:cantSplit/>
          <w:tblHeader/>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Specification</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Hot nights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Very hot days</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Cold days</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3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(0.963–1.025)</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0.989 (0.956–1.024)</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1.066 (1.005–1.131)</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6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1.004 (0.977–1.032)</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(0.963–1.028)</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1.072 (1.005–1.143)</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Time spline 8 df</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1.002 (0.978–1.028)</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0.993 (0.963–1.024)</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1.062 (0.994–1.135)</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Year indicators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1.004 (0.982–1.026)</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0.997 (0.971–1.024)</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1.061 (0.997–1.129)</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Omit first 12 months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1.007 (0.977–1.038)</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 (0.963–1.029)</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1.067 (0.995–1.143)</w:t>
            </w:r>
          </w:p>
        </w:tc>
      </w:tr>
      <w:tr>
        <w:trPr>
          <w:cantSplit/>
        </w:trPr>
        <w:tc>
          <w:tcPr>
            <w:tcW w:type="dxa" w:w="252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Omit first 24 months</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1.003 (0.974–1.034)</w:t>
            </w:r>
          </w:p>
        </w:tc>
        <w:tc>
          <w:tcPr>
            <w:tcW w:type="dxa" w:w="2275"/>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0.988 (0.957–1.021)</w:t>
            </w:r>
          </w:p>
        </w:tc>
        <w:tc>
          <w:tcPr>
            <w:tcW w:type="dxa" w:w="229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1.043 (0.965–1.127)</w:t>
            </w:r>
          </w:p>
        </w:tc>
      </w:tr>
      <w:tr>
        <w:trPr>
          <w:cantSplit/>
        </w:trPr>
        <w:tc>
          <w:tcPr>
            <w:tcW w:type="dxa" w:w="252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COVID phase intercepts</w:t>
            </w:r>
          </w:p>
        </w:tc>
        <w:tc>
          <w:tcPr>
            <w:tcW w:type="dxa" w:w="2275"/>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0.994 (0.972–1.016)</w:t>
            </w:r>
          </w:p>
        </w:tc>
        <w:tc>
          <w:tcPr>
            <w:tcW w:type="dxa" w:w="2275"/>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0.990 (0.963–1.017)</w:t>
            </w:r>
          </w:p>
        </w:tc>
        <w:tc>
          <w:tcPr>
            <w:tcW w:type="dxa" w:w="229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1.074 (1.006–1.145)</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Uncertainty constructions</w:t>
      </w:r>
    </w:p>
    <w:p>
      <w:pPr>
        <w:keepNext/>
        <w:keepLines/>
        <w:spacing w:after="120" w:before="0" w:line="240" w:lineRule="auto"/>
        <w:ind w:firstLine="0"/>
        <w:jc w:val="left"/>
      </w:pPr>
      <w:r>
        <w:rPr>
          <w:rFonts w:ascii="Times New Roman" w:hAnsi="Times New Roman" w:eastAsia="Times New Roman"/>
          <w:b w:val="0"/>
          <w:i/>
          <w:sz w:val="21"/>
        </w:rPr>
        <w:t>Supplementary Table S6. Uncertainty intervals for all twelve baseline models, January 2013–December 2023. CHD denotes coronary heart disease; HF denotes heart failure. All four constructions use the same fitted coefficient. Lag-six q-values appear in Table S3 and do not apply to the other interval constructions. Four decimal places are retained for the near-null CHD hot-night lag-three bounds.</w:t>
      </w:r>
    </w:p>
    <w:p>
      <w:pPr>
        <w:pStyle w:val="Heading2"/>
        <w:keepNext/>
        <w:keepLines/>
        <w:spacing w:after="120" w:before="160" w:line="240" w:lineRule="auto"/>
        <w:ind w:firstLine="0"/>
        <w:jc w:val="left"/>
      </w:pPr>
      <w:r>
        <w:rPr>
          <w:rFonts w:ascii="Times New Roman" w:hAnsi="Times New Roman" w:eastAsia="Times New Roman"/>
          <w:b/>
          <w:i w:val="0"/>
          <w:sz w:val="23"/>
        </w:rPr>
        <w:t>CHD</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692"/>
        <w:gridCol w:w="1692"/>
        <w:gridCol w:w="1692"/>
        <w:gridCol w:w="1692"/>
      </w:tblGrid>
      <w:tr>
        <w:trPr>
          <w:cantSplit/>
          <w:tblHeader/>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Exposure</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Model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HC1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NW3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NW6 CI</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0.9772–1.0092</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0.9745–1.0120</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0.9759–1.0105</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0.9762–1.0102</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0.9788–1.0073</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0.9764–1.0098</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0.9784–1.0077</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0.9791–1.0069</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0.9788–1.0098</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0.9763–1.0124</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0.9768–1.0119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0.9771–1.0116</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0.9950–1.0494</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0.9973–1.0469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1.0003–1.0439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1.0019–1.0422</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0.9741–1.0254</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0.9747–1.0247</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0.9735–1.0260</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0.9744–1.0251</w:t>
            </w:r>
          </w:p>
        </w:tc>
      </w:tr>
      <w:tr>
        <w:trPr>
          <w:cantSplit/>
        </w:trPr>
        <w:tc>
          <w:tcPr>
            <w:tcW w:type="dxa" w:w="25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Cold days / 5 days</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0.9539–1.0371</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0.9555–1.0353</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0.9495–1.0419</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0.9488–1.0427</w:t>
            </w:r>
          </w:p>
        </w:tc>
      </w:tr>
    </w:tbl>
    <w:p>
      <w:pPr>
        <w:spacing w:after="120" w:before="0" w:line="240" w:lineRule="auto"/>
        <w:ind w:firstLine="0"/>
        <w:jc w:val="left"/>
      </w:pPr>
      <w:r>
        <w:rPr>
          <w:rFonts w:ascii="Times New Roman" w:hAnsi="Times New Roman" w:eastAsia="Times New Roman"/>
          <w:b w:val="0"/>
          <w:i w:val="0"/>
          <w:sz w:val="4"/>
        </w:rPr>
      </w:r>
    </w:p>
    <w:p>
      <w:pPr>
        <w:pStyle w:val="Heading2"/>
        <w:keepNext/>
        <w:keepLines/>
        <w:spacing w:after="120" w:before="160" w:line="240" w:lineRule="auto"/>
        <w:ind w:firstLine="0"/>
        <w:jc w:val="left"/>
      </w:pPr>
      <w:r>
        <w:rPr>
          <w:rFonts w:ascii="Times New Roman" w:hAnsi="Times New Roman" w:eastAsia="Times New Roman"/>
          <w:b/>
          <w:i w:val="0"/>
          <w:sz w:val="23"/>
        </w:rPr>
        <w:t>HF</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692"/>
        <w:gridCol w:w="1692"/>
        <w:gridCol w:w="1692"/>
        <w:gridCol w:w="1692"/>
      </w:tblGrid>
      <w:tr>
        <w:trPr>
          <w:cantSplit/>
          <w:tblHeader/>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Exposure</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Model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HC1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NW3 CI</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NW6 CI</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0.9561–0.9929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0.9494–0.9999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0.9487–1.0006</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0.9474–1.0020</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0.9645–0.9981</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0.9584–1.0044</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0.9593–1.0035</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0.9583–1.0046</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 / 1°C</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0.9556–0.9909</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0.9500–0.9967</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0.9483–0.9986</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0.9469–1.0000</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 / 5 days</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0.9702–1.0372</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0.9706–1.0367</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0.9739–1.0332</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0.9759–1.0311</w:t>
            </w:r>
          </w:p>
        </w:tc>
      </w:tr>
      <w:tr>
        <w:trPr>
          <w:cantSplit/>
        </w:trPr>
        <w:tc>
          <w:tcPr>
            <w:tcW w:type="dxa" w:w="25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 / 5 days</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0.9637–1.0274</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0.9629–1.0282</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0.9637–1.0273</w:t>
            </w:r>
          </w:p>
        </w:tc>
        <w:tc>
          <w:tcPr>
            <w:tcW w:type="dxa" w:w="169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0.9630–1.0281</w:t>
            </w:r>
          </w:p>
        </w:tc>
      </w:tr>
      <w:tr>
        <w:trPr>
          <w:cantSplit/>
        </w:trPr>
        <w:tc>
          <w:tcPr>
            <w:tcW w:type="dxa" w:w="25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Cold days / 5 days</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1.0227–1.1253</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1.0113–1.1381</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1.0066–1.1434</w:t>
            </w:r>
          </w:p>
        </w:tc>
        <w:tc>
          <w:tcPr>
            <w:tcW w:type="dxa" w:w="1692"/>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1.0065–1.1435</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Released baseline diagnostics</w:t>
      </w:r>
    </w:p>
    <w:p>
      <w:pPr>
        <w:keepNext/>
        <w:keepLines/>
        <w:spacing w:after="120" w:before="0" w:line="240" w:lineRule="auto"/>
        <w:ind w:firstLine="0"/>
        <w:jc w:val="left"/>
      </w:pPr>
      <w:r>
        <w:rPr>
          <w:rFonts w:ascii="Times New Roman" w:hAnsi="Times New Roman" w:eastAsia="Times New Roman"/>
          <w:b w:val="0"/>
          <w:i/>
          <w:sz w:val="21"/>
        </w:rPr>
        <w:t>Supplementary Table S7. Diagnostics from all twelve baseline models, January 2013–December 2023. CHD denotes coronary heart disease; HF denotes heart failure. Theta is the negative-binomial dispersion parameter. Pearson dispersion, lag-one Pearson residual autocorrelation and lag-six Ljung–Box p-values describe the released fits; no new diagnostic test was performed. Small Ljung–Box p-values indicate residual dependence; they do not establish interval calibration. Sandwich covariance depends on regression-score autocovariances, so positive residual autocorrelation alone does not require HAC intervals to widen. All released baseline convergence flags were true.</w:t>
      </w:r>
    </w:p>
    <w:tbl>
      <w:tblPr>
        <w:tblStyle w:val="TableGrid"/>
        <w:tblLayout w:type="fixed"/>
        <w:tblLook w:firstColumn="1" w:firstRow="1" w:lastColumn="0" w:lastRow="0" w:noHBand="0" w:noVBand="1" w:val="04A0"/>
        <w:tblW w:w="5000" w:type="pct"/>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1440"/>
        <w:gridCol w:w="1584"/>
        <w:gridCol w:w="1440"/>
        <w:gridCol w:w="1655"/>
      </w:tblGrid>
      <w:tr>
        <w:trPr>
          <w:cantSplit/>
          <w:tblHeader/>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Outcome</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Exposure</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Theta</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Pearson dispersion</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Residual ACF1</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9"/>
              </w:rPr>
              <w:t>Ljung–Box p lag6</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160.456</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1.114</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0.534</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1.24e-09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160.760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1.114</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0.533</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1.36e-09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160.190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1.114</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0.532</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1.48e-09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163.009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1.116</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0.508</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1.17e-08</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Cold days</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159.450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1.114</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0.528</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2.24e-09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CHD</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Very hot days</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159.359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1.114</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0.529</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2.05e-09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temperature</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186.459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1.149</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0.139</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0.469</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maximum</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178.627</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1.147</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0.150</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0.397</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Mean minimum</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190.800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1.151</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0.131</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0.514</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Hot nights</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164.480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1.139</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0.174</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0.364</w:t>
            </w:r>
          </w:p>
        </w:tc>
      </w:tr>
      <w:tr>
        <w:trPr>
          <w:cantSplit/>
        </w:trPr>
        <w:tc>
          <w:tcPr>
            <w:tcW w:type="dxa" w:w="9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Cold days</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188.039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1.149</w:t>
            </w:r>
          </w:p>
        </w:tc>
        <w:tc>
          <w:tcPr>
            <w:tcW w:type="dxa" w:w="144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0.146</w:t>
            </w:r>
          </w:p>
        </w:tc>
        <w:tc>
          <w:tcPr>
            <w:tcW w:type="dxa" w:w="165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9"/>
              </w:rPr>
              <w:t>0.356</w:t>
            </w:r>
          </w:p>
        </w:tc>
      </w:tr>
      <w:tr>
        <w:trPr>
          <w:cantSplit/>
        </w:trPr>
        <w:tc>
          <w:tcPr>
            <w:tcW w:type="dxa" w:w="93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HF</w:t>
            </w:r>
          </w:p>
        </w:tc>
        <w:tc>
          <w:tcPr>
            <w:tcW w:type="dxa" w:w="2304"/>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Very hot days</w:t>
            </w:r>
          </w:p>
        </w:tc>
        <w:tc>
          <w:tcPr>
            <w:tcW w:type="dxa" w:w="144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164.636</w:t>
            </w:r>
          </w:p>
        </w:tc>
        <w:tc>
          <w:tcPr>
            <w:tcW w:type="dxa" w:w="1584"/>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1.140</w:t>
            </w:r>
          </w:p>
        </w:tc>
        <w:tc>
          <w:tcPr>
            <w:tcW w:type="dxa" w:w="1440"/>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0.179</w:t>
            </w:r>
          </w:p>
        </w:tc>
        <w:tc>
          <w:tcPr>
            <w:tcW w:type="dxa" w:w="1656"/>
            <w:tcMar>
              <w:top w:w="40" w:type="dxa"/>
              <w:left w:w="55" w:type="dxa"/>
              <w:bottom w:w="40" w:type="dxa"/>
              <w:right w:w="55" w:type="dxa"/>
            </w:tcMar>
          </w:tcPr>
          <w:p>
            <w:pPr>
              <w:keepNext w:val="0"/>
              <w:keepLines/>
              <w:spacing w:after="20" w:before="20" w:line="240" w:lineRule="auto"/>
              <w:ind w:firstLine="0"/>
              <w:jc w:val="left"/>
            </w:pPr>
            <w:r/>
            <w:r>
              <w:rPr>
                <w:rFonts w:ascii="Times New Roman" w:hAnsi="Times New Roman" w:eastAsia="Times New Roman"/>
                <w:b w:val="0"/>
                <w:i w:val="0"/>
                <w:sz w:val="19"/>
              </w:rPr>
              <w:t>0.319</w:t>
            </w:r>
          </w:p>
        </w:tc>
      </w:tr>
    </w:tbl>
    <w:p>
      <w:pPr>
        <w:spacing w:after="120" w:before="0" w:line="240" w:lineRule="auto"/>
        <w:ind w:firstLine="0"/>
        <w:jc w:val="left"/>
      </w:pPr>
      <w:r>
        <w:rPr>
          <w:rFonts w:ascii="Times New Roman" w:hAnsi="Times New Roman" w:eastAsia="Times New Roman"/>
          <w:b w:val="0"/>
          <w:i w:val="0"/>
          <w:sz w:val="4"/>
        </w:rPr>
      </w:r>
    </w:p>
    <w:p>
      <w:pPr>
        <w:pStyle w:val="Heading1"/>
        <w:keepNext/>
        <w:keepLines/>
        <w:spacing w:after="120" w:before="240" w:line="240" w:lineRule="auto"/>
        <w:ind w:firstLine="0"/>
        <w:jc w:val="left"/>
      </w:pPr>
      <w:r>
        <w:rPr>
          <w:rFonts w:ascii="Times New Roman" w:hAnsi="Times New Roman" w:eastAsia="Times New Roman"/>
          <w:b/>
          <w:i w:val="0"/>
          <w:sz w:val="27"/>
        </w:rPr>
        <w:t>Interpretation and source binding</w:t>
      </w:r>
    </w:p>
    <w:p>
      <w:pPr>
        <w:spacing w:after="160" w:before="0" w:line="240" w:lineRule="auto"/>
        <w:ind w:firstLine="0"/>
        <w:jc w:val="left"/>
      </w:pPr>
      <w:r>
        <w:rPr>
          <w:rFonts w:ascii="Times New Roman" w:hAnsi="Times New Roman" w:eastAsia="Times New Roman"/>
          <w:b w:val="0"/>
          <w:i w:val="0"/>
          <w:sz w:val="23"/>
        </w:rPr>
        <w:t>The pre-2020 window contains 84 of the 132 full-window calendar months, with a recalculated spline basis. Released metadata record window length rather than the number of observations used by each fitted model. Complete-case handling was not independently documented; this does not establish that any observations were missing. No independent 2020–2023 coefficient, interaction test or weather standardisation is reported. General-population rates in older aggregate files are omitted because the population is not the eligible first-event risk set.</w:t>
      </w:r>
    </w:p>
    <w:p>
      <w:pPr>
        <w:spacing w:after="160" w:before="0" w:line="240" w:lineRule="auto"/>
        <w:ind w:firstLine="0"/>
        <w:jc w:val="left"/>
      </w:pPr>
      <w:r>
        <w:rPr>
          <w:rFonts w:ascii="Times New Roman" w:hAnsi="Times New Roman" w:eastAsia="Times New Roman"/>
          <w:b w:val="0"/>
          <w:i w:val="0"/>
          <w:sz w:val="23"/>
        </w:rPr>
        <w:t>Tables draw from the repository files outputs/tables/cvd_descriptive_annual_totals.csv, cvd_descriptive_covid_era_means.csv, cvd_core_robust_estimates.csv and cvd_trend_depletion_sensitivity.csv. Baseline diagnostics are in cvd_core_model_fit.csv. All health values have HA_APPROVED_AGGREGATE provenance; no monthly governed files were read to produce this revision.</w:t>
      </w:r>
    </w:p>
    <w:p>
      <w:pPr>
        <w:pStyle w:val="Heading1"/>
        <w:keepNext/>
        <w:keepLines/>
        <w:spacing w:after="120" w:before="240" w:line="240" w:lineRule="auto"/>
        <w:ind w:firstLine="0"/>
        <w:jc w:val="left"/>
      </w:pPr>
      <w:r>
        <w:rPr>
          <w:rFonts w:ascii="Times New Roman" w:hAnsi="Times New Roman" w:eastAsia="Times New Roman"/>
          <w:b/>
          <w:i w:val="0"/>
          <w:sz w:val="27"/>
        </w:rPr>
        <w:t>Conceptual observation process</w:t>
      </w:r>
    </w:p>
    <w:p>
      <w:pPr>
        <w:keepNext/>
        <w:keepLines/>
        <w:spacing w:after="120" w:before="0" w:line="240" w:lineRule="auto"/>
        <w:ind w:firstLine="0"/>
        <w:jc w:val="left"/>
      </w:pPr>
      <w:r>
        <w:rPr>
          <w:rFonts w:ascii="Times New Roman" w:hAnsi="Times New Roman" w:eastAsia="Times New Roman"/>
          <w:b w:val="0"/>
          <w:i/>
          <w:sz w:val="21"/>
        </w:rPr>
        <w:t>Supplementary Figure S1. Observation processes underlying a recorded first stay. CHD denotes coronary heart disease; HF denotes heart failure. Conceptual diagram of how underlying clinical state, diagnosis recording, care contact, eligibility and competing death can affect the supplied count. Arrows specify plausible relationships with unknown signs; they are not identified effects or a complete causal adjustment graph. Admission cause, eligible person-time and linked clinical measurements were unavailable. No numerical cohort flow is inferred.</w:t>
      </w:r>
    </w:p>
    <w:p>
      <w:pPr>
        <w:keepLines/>
        <w:spacing w:after="160" w:before="0" w:line="240" w:lineRule="auto"/>
        <w:ind w:firstLine="0"/>
        <w:jc w:val="center"/>
      </w:pPr>
      <w:r>
        <w:drawing>
          <wp:inline xmlns:a="http://schemas.openxmlformats.org/drawingml/2006/main" xmlns:pic="http://schemas.openxmlformats.org/drawingml/2006/picture">
            <wp:extent cx="5943600" cy="3040979"/>
            <wp:docPr id="1" name="Picture 1"/>
            <wp:cNvGraphicFramePr>
              <a:graphicFrameLocks noChangeAspect="1"/>
            </wp:cNvGraphicFramePr>
            <a:graphic>
              <a:graphicData uri="http://schemas.openxmlformats.org/drawingml/2006/picture">
                <pic:pic>
                  <pic:nvPicPr>
                    <pic:cNvPr id="0" name="figure_observation_process_20261002.png"/>
                    <pic:cNvPicPr/>
                  </pic:nvPicPr>
                  <pic:blipFill>
                    <a:blip r:embed="rId11"/>
                    <a:stretch>
                      <a:fillRect/>
                    </a:stretch>
                  </pic:blipFill>
                  <pic:spPr>
                    <a:xfrm>
                      <a:off x="0" y="0"/>
                      <a:ext cx="5943600" cy="3040979"/>
                    </a:xfrm>
                    <a:prstGeom prst="rect"/>
                  </pic:spPr>
                </pic:pic>
              </a:graphicData>
            </a:graphic>
          </wp:inline>
        </w:drawing>
      </w:r>
    </w:p>
    <w:p>
      <w:pPr>
        <w:pStyle w:val="Heading1"/>
        <w:keepNext/>
        <w:keepLines/>
        <w:spacing w:after="120" w:before="240" w:line="240" w:lineRule="auto"/>
        <w:ind w:firstLine="0"/>
        <w:jc w:val="left"/>
      </w:pPr>
      <w:r>
        <w:rPr>
          <w:rFonts w:ascii="Times New Roman" w:hAnsi="Times New Roman" w:eastAsia="Times New Roman"/>
          <w:b/>
          <w:i w:val="0"/>
          <w:sz w:val="27"/>
        </w:rPr>
        <w:t>Visual comparison of nested and full windows</w:t>
      </w:r>
    </w:p>
    <w:p>
      <w:pPr>
        <w:keepNext/>
        <w:keepLines/>
        <w:spacing w:after="120" w:before="0" w:line="240" w:lineRule="auto"/>
        <w:ind w:firstLine="0"/>
        <w:jc w:val="left"/>
      </w:pPr>
      <w:r>
        <w:rPr>
          <w:rFonts w:ascii="Times New Roman" w:hAnsi="Times New Roman" w:eastAsia="Times New Roman"/>
          <w:b w:val="0"/>
          <w:i/>
          <w:sz w:val="21"/>
        </w:rPr>
        <w:t>Supplementary Figure S2. Official day associations in overlapping analysis windows. CHD denotes coronary heart disease; HF denotes heart failure. Points and Newey–West lag-six 95% confidence intervals for 2013–2019 and 2013–2023 reproduce Supplementary Table S4. The pre-2020 84 months are contained within the full 132 months, and the spline basis is recalculated in each fit. The paired display is a sensitivity comparison, not independent pre/post estimates or a test of a change. Ratios are per five additional official days, without a consecutive-day requirement.</w:t>
      </w:r>
    </w:p>
    <w:p>
      <w:pPr>
        <w:keepLines/>
        <w:spacing w:after="160" w:before="0" w:line="240" w:lineRule="auto"/>
        <w:ind w:firstLine="0"/>
        <w:jc w:val="center"/>
      </w:pPr>
      <w:r>
        <w:drawing>
          <wp:inline xmlns:a="http://schemas.openxmlformats.org/drawingml/2006/main" xmlns:pic="http://schemas.openxmlformats.org/drawingml/2006/picture">
            <wp:extent cx="5943600" cy="2747042"/>
            <wp:docPr id="2" name="Picture 2"/>
            <wp:cNvGraphicFramePr>
              <a:graphicFrameLocks noChangeAspect="1"/>
            </wp:cNvGraphicFramePr>
            <a:graphic>
              <a:graphicData uri="http://schemas.openxmlformats.org/drawingml/2006/picture">
                <pic:pic>
                  <pic:nvPicPr>
                    <pic:cNvPr id="0" name="figure_nested_window_associations_20261002.png"/>
                    <pic:cNvPicPr/>
                  </pic:nvPicPr>
                  <pic:blipFill>
                    <a:blip r:embed="rId12"/>
                    <a:stretch>
                      <a:fillRect/>
                    </a:stretch>
                  </pic:blipFill>
                  <pic:spPr>
                    <a:xfrm>
                      <a:off x="0" y="0"/>
                      <a:ext cx="5943600" cy="2747042"/>
                    </a:xfrm>
                    <a:prstGeom prst="rect"/>
                  </pic:spPr>
                </pic:pic>
              </a:graphicData>
            </a:graphic>
          </wp:inline>
        </w:drawing>
      </w:r>
    </w:p>
    <w:sectPr w:rsidR="00FC693F" w:rsidRPr="0006063C" w:rsidSect="00034616">
      <w:headerReference w:type="default" r:id="rId9"/>
      <w:footerReference w:type="default" r:id="rId10"/>
      <w:pgSz w:w="11906" w:h="16838"/>
      <w:pgMar w:top="1440" w:right="1080" w:bottom="1440" w:left="108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results for first hospitalisation counts before and during the COVID pandemic</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