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Among specifications more flexible than Model 1, only the 6-df spline keeps both residual intervals away from 1. For HF cold days, the 8-df interval includes 1 (1.062, 0.994–1.135). 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6720840"/>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 If a single more-flexible robustness check is named, it is the 6-df spline, because the 8-df spline opens the HF cold-day interval onto 1. That is an identification property of the time smooth.</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Candidate mechanisms for a night residual sit outside this design. Ambient heat is associated with shorter and more fragmented sleep [23]. A confinement study of seven men reported higher nocturnal core temperature after hot nights [24]. Bedroom temperatures above 24 °C were associated with lower heart-rate variability in older adults [25]. Those studies do not measure first CHD hospitalisation in Hong Kong, and they do not measure indoor temperature in this series. A scoping review of extreme heat, sleep, and cardiovascular measures found mixed blood-pressure findings and no demonstration of sleep as a mediator of hospitalisation [26]. The hypothesis is that a hot-night count can differ from monthly mean temperature because overnight recovery can fail. This panel does not identify that pathway.</w:t>
      </w:r>
    </w:p>
    <w:p>
      <w:pPr>
        <w:spacing w:after="160" w:before="0" w:line="240" w:lineRule="auto"/>
        <w:ind w:firstLine="720"/>
        <w:jc w:val="both"/>
      </w:pPr>
      <w:r>
        <w:rPr>
          <w:rFonts w:ascii="Times New Roman" w:hAnsi="Times New Roman" w:eastAsia="Times New Roman"/>
          <w:b w:val="0"/>
          <w:i w:val="0"/>
          <w:sz w:val="24"/>
        </w:rPr>
        <w:t>A corresponding hypothesis for HF is haemodynamic rather than nocturnal. Cold exposure can raise afterload; a failing heart has little reserve against that load [27,28]. Goggins and Chan's daily Hong Kong HF series remains the local epidemiological neighbour, not a magnitude to import [21]. The present counts do not measure afterload, blood pressure, or infection. A heat-only reading of this analysis would miss the more coherent residual.</w:t>
      </w:r>
    </w:p>
    <w:p>
      <w:pPr>
        <w:spacing w:after="160" w:before="0" w:line="240" w:lineRule="auto"/>
        <w:ind w:firstLine="720"/>
        <w:jc w:val="both"/>
      </w:pPr>
      <w:r>
        <w:rPr>
          <w:rFonts w:ascii="Times New Roman" w:hAnsi="Times New Roman" w:eastAsia="Times New Roman"/>
          <w:b w:val="0"/>
          <w:i w:val="0"/>
          <w:sz w:val="24"/>
        </w:rPr>
        <w:t>Hong Kong already issues a Very Hot Weather Warning and a separate Cold Weather Warning [30,31,33]. The World Health Organization's 2026 heat-health action-plan guidance lists eight core elements: governance; a heat-health warning system; populations at increased risk; communication; health-system resilience; reducing heat exposure; heat-health surveillance; and monitoring, evaluation and learning [29]. The Observatory's Prolonged Heat Special Alert already names hot nights beside very hot days [30,31]. The Department of Health already names people with heart disease or high blood pressure [32]. Those overlaps are a mapping of published elements onto existing instruments. They are not a test of any alert, and they do not use the Model 1 residuals as evidence that the instruments work. The estimates do not set a five-day trigger, do not count admissions averted, and do not say whether existing warnings work.</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pageBreakBefore/>
        <w:spacing w:after="120" w:before="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Physiological accounts of overnight recovery and cold-related afterload, and a mapping onto published heat-health action-plan elements, are interpretation. They are not identified effects and not an evaluation of Hong Kong's warnings.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 Physiological mechanisms and heat-health action-plan mappings are not identified from the 132 months.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p>
      <w:pPr>
        <w:spacing w:after="80" w:before="0" w:line="240" w:lineRule="auto"/>
        <w:ind w:left="425" w:hanging="425"/>
        <w:jc w:val="left"/>
      </w:pPr>
      <w:r>
        <w:rPr>
          <w:rFonts w:ascii="Times New Roman" w:hAnsi="Times New Roman" w:eastAsia="Times New Roman"/>
          <w:b w:val="0"/>
          <w:i w:val="0"/>
          <w:sz w:val="22"/>
        </w:rPr>
        <w:t>23. Chevance G, Minor K, Vielma C, et al. A systematic review of ambient heat and sleep in a warming climate. Sleep Med Rev. 2024;75:101915. doi:10.1016/j.smrv.2024.101915</w:t>
      </w:r>
    </w:p>
    <w:p>
      <w:pPr>
        <w:spacing w:after="80" w:before="0" w:line="240" w:lineRule="auto"/>
        <w:ind w:left="425" w:hanging="425"/>
        <w:jc w:val="left"/>
      </w:pPr>
      <w:r>
        <w:rPr>
          <w:rFonts w:ascii="Times New Roman" w:hAnsi="Times New Roman" w:eastAsia="Times New Roman"/>
          <w:b w:val="0"/>
          <w:i w:val="0"/>
          <w:sz w:val="22"/>
        </w:rPr>
        <w:t>24. Ioannou LG, Tsoutsoubi L, Mantzios K, et al. Impact of a simulated multiday heatwave on nocturnal physiology, behavior, and sleep: a 10-day confinement study. Appl Physiol Nutr Metab. 2024;49:1394-1408. doi:10.1139/apnm-2024-0105</w:t>
      </w:r>
    </w:p>
    <w:p>
      <w:pPr>
        <w:spacing w:after="80" w:before="0" w:line="240" w:lineRule="auto"/>
        <w:ind w:left="425" w:hanging="425"/>
        <w:jc w:val="left"/>
      </w:pPr>
      <w:r>
        <w:rPr>
          <w:rFonts w:ascii="Times New Roman" w:hAnsi="Times New Roman" w:eastAsia="Times New Roman"/>
          <w:b w:val="0"/>
          <w:i w:val="0"/>
          <w:sz w:val="22"/>
        </w:rPr>
        <w:t>25. O'Connor FK, Bach AJE, Forbes C, et al. Effect of nighttime bedroom temperature on heart rate variability in older adults: an observational study. BMC Med. 2025;23:703. doi:10.1186/s12916-025-04513-0</w:t>
      </w:r>
    </w:p>
    <w:p>
      <w:pPr>
        <w:spacing w:after="80" w:before="0" w:line="240" w:lineRule="auto"/>
        <w:ind w:left="425" w:hanging="425"/>
        <w:jc w:val="left"/>
      </w:pPr>
      <w:r>
        <w:rPr>
          <w:rFonts w:ascii="Times New Roman" w:hAnsi="Times New Roman" w:eastAsia="Times New Roman"/>
          <w:b w:val="0"/>
          <w:i w:val="0"/>
          <w:sz w:val="22"/>
        </w:rPr>
        <w:t>26. Ashe N, Wozniak S, Conner M, et al. Association of extreme heat events with sleep and cardiovascular health: a scoping review. Syst Rev. 2025;14:19. doi:10.1186/s13643-024-02742-7</w:t>
      </w:r>
    </w:p>
    <w:p>
      <w:pPr>
        <w:spacing w:after="80" w:before="0" w:line="240" w:lineRule="auto"/>
        <w:ind w:left="425" w:hanging="425"/>
        <w:jc w:val="left"/>
      </w:pPr>
      <w:r>
        <w:rPr>
          <w:rFonts w:ascii="Times New Roman" w:hAnsi="Times New Roman" w:eastAsia="Times New Roman"/>
          <w:b w:val="0"/>
          <w:i w:val="0"/>
          <w:sz w:val="22"/>
        </w:rPr>
        <w:t>27. Ikaheimo TM. Cardiovascular diseases, cold exposure and exercise. Temperature (Austin). 2018;5(2):123-146. doi:10.1080/23328940.2017.1414014</w:t>
      </w:r>
    </w:p>
    <w:p>
      <w:pPr>
        <w:spacing w:after="80" w:before="0" w:line="240" w:lineRule="auto"/>
        <w:ind w:left="425" w:hanging="425"/>
        <w:jc w:val="left"/>
      </w:pPr>
      <w:r>
        <w:rPr>
          <w:rFonts w:ascii="Times New Roman" w:hAnsi="Times New Roman" w:eastAsia="Times New Roman"/>
          <w:b w:val="0"/>
          <w:i w:val="0"/>
          <w:sz w:val="22"/>
        </w:rPr>
        <w:t>28. Li Y, Wu J, Xu Y, et al. Cold exposure and the cardiovascular system: from physiological adaptation to pathological risk. Front Physiol. 2026;16:1740919. doi:10.3389/fphys.2025.1740919</w:t>
      </w:r>
    </w:p>
    <w:p>
      <w:pPr>
        <w:spacing w:after="80" w:before="0" w:line="240" w:lineRule="auto"/>
        <w:ind w:left="425" w:hanging="425"/>
        <w:jc w:val="left"/>
      </w:pPr>
      <w:r>
        <w:rPr>
          <w:rFonts w:ascii="Times New Roman" w:hAnsi="Times New Roman" w:eastAsia="Times New Roman"/>
          <w:b w:val="0"/>
          <w:i w:val="0"/>
          <w:sz w:val="22"/>
        </w:rPr>
        <w:t>29. WHO Regional Office for Europe. Heat-health action plans: guidance. 2nd ed. Copenhagen: WHO Regional Office for Europe; 2026. ISBN 9789289062930. https://www.who.int/europe/publications/i/item/9789289062930</w:t>
      </w:r>
    </w:p>
    <w:p>
      <w:pPr>
        <w:spacing w:after="80" w:before="0" w:line="240" w:lineRule="auto"/>
        <w:ind w:left="425" w:hanging="425"/>
        <w:jc w:val="left"/>
      </w:pPr>
      <w:r>
        <w:rPr>
          <w:rFonts w:ascii="Times New Roman" w:hAnsi="Times New Roman" w:eastAsia="Times New Roman"/>
          <w:b w:val="0"/>
          <w:i w:val="0"/>
          <w:sz w:val="22"/>
        </w:rPr>
        <w:t>30. Chong SN, Law HF. Beware of Health Effects of Extremely Hot Weather. Hong Kong Observatory. December 2023. https://www.hko.gov.hk/en/education/weather/hot-and-cold-weather/00706-Beware-of-Health-Effects-of-Extremely-Hot-Weather.html</w:t>
      </w:r>
    </w:p>
    <w:p>
      <w:pPr>
        <w:spacing w:after="80" w:before="0" w:line="240" w:lineRule="auto"/>
        <w:ind w:left="425" w:hanging="425"/>
        <w:jc w:val="left"/>
      </w:pPr>
      <w:r>
        <w:rPr>
          <w:rFonts w:ascii="Times New Roman" w:hAnsi="Times New Roman" w:eastAsia="Times New Roman"/>
          <w:b w:val="0"/>
          <w:i w:val="0"/>
          <w:sz w:val="22"/>
        </w:rPr>
        <w:t>31. Hong Kong Observatory. Cold and Very Hot Weather Warnings. https://www.hko.gov.hk/en/wservice/warning/coldhot.htm</w:t>
      </w:r>
    </w:p>
    <w:p>
      <w:pPr>
        <w:spacing w:after="80" w:before="0" w:line="240" w:lineRule="auto"/>
        <w:ind w:left="425" w:hanging="425"/>
        <w:jc w:val="left"/>
      </w:pPr>
      <w:r>
        <w:rPr>
          <w:rFonts w:ascii="Times New Roman" w:hAnsi="Times New Roman" w:eastAsia="Times New Roman"/>
          <w:b w:val="0"/>
          <w:i w:val="0"/>
          <w:sz w:val="22"/>
        </w:rPr>
        <w:t>32. Centre for Health Protection. Beware of Heat Stroke. 11 August 2025. https://www.chp.gov.hk/en/static/90064.html</w:t>
      </w:r>
    </w:p>
    <w:p>
      <w:pPr>
        <w:spacing w:after="80" w:before="0" w:line="240" w:lineRule="auto"/>
        <w:ind w:left="425" w:hanging="425"/>
        <w:jc w:val="left"/>
      </w:pPr>
      <w:r>
        <w:rPr>
          <w:rFonts w:ascii="Times New Roman" w:hAnsi="Times New Roman" w:eastAsia="Times New Roman"/>
          <w:b w:val="0"/>
          <w:i w:val="0"/>
          <w:sz w:val="22"/>
        </w:rPr>
        <w:t>33. Home Affairs Department. Emergency Relief Services: temporary heat shelters. https://www.had.gov.hk/en/public_services/emergency_services/emergency.htm</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9T09:40:07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9T09:40:07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9T09:40:07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9T09:40:07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9T09:40:07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9T09:40:07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9T09:40:07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