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Analysis-window sensitivity of first coronary and heart-failure hospitalisation counts across pandemic-era disruption in Hong Kong, 2013–2023</w:t>
      </w:r>
    </w:p>
    <w:p>
      <w:pPr>
        <w:keepNext w:val="0"/>
        <w:spacing w:after="160" w:before="0" w:line="240" w:lineRule="auto"/>
        <w:ind w:firstLine="0"/>
        <w:jc w:val="center"/>
      </w:pPr>
      <w:r>
        <w:rPr>
          <w:rFonts w:ascii="Times New Roman" w:hAnsi="Times New Roman" w:eastAsia="Times New Roman"/>
          <w:b w:val="0"/>
          <w:i/>
          <w:sz w:val="22"/>
        </w:rPr>
        <w:t>Running title: Window sensitivity of first CHD/HF hospitalisation</w:t>
      </w:r>
    </w:p>
    <w:p>
      <w:pPr>
        <w:keepNext w:val="0"/>
        <w:spacing w:after="16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keepNext w:val="0"/>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keepNext/>
        <w:spacing w:after="120" w:before="240" w:line="240" w:lineRule="auto"/>
        <w:ind w:firstLine="0"/>
        <w:jc w:val="left"/>
      </w:pPr>
      <w:r>
        <w:rPr>
          <w:rFonts w:ascii="Times New Roman" w:hAnsi="Times New Roman" w:eastAsia="Times New Roman"/>
          <w:b/>
          <w:i w:val="0"/>
          <w:sz w:val="28"/>
        </w:rPr>
        <w:t>Abstract</w:t>
      </w:r>
    </w:p>
    <w:p>
      <w:pPr>
        <w:keepNext w:val="0"/>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Monthly counts of first hospitalisation can change across analysis windows when the population still at risk, care-seeking, and environmental conditions also change. Hong Kong’s 2013–2023 series spans both a secular decline in first coronary and heart-failure events and pandemic-era disruption. We examined the count trajectory and the sensitivity of thermal count ratios to a nested pre-2020 window.</w:t>
      </w:r>
    </w:p>
    <w:p>
      <w:pPr>
        <w:keepNext w:val="0"/>
        <w:spacing w:after="160" w:before="0" w:line="240" w:lineRule="auto"/>
        <w:ind w:firstLine="0"/>
        <w:jc w:val="both"/>
      </w:pPr>
      <w:commentRangeStart w:id="1"/>
      <w:r>
        <w:rPr>
          <w:rFonts w:ascii="Times New Roman" w:hAnsi="Times New Roman" w:eastAsia="Times New Roman"/>
          <w:b/>
          <w:i w:val="0"/>
          <w:sz w:val="24"/>
        </w:rPr>
        <w:t>Methods.</w:t>
      </w:r>
      <w:commentRangeEnd w:id="1"/>
      <w:r>
        <w:rPr>
          <w:rStyle w:val="CommentReference"/>
        </w:rPr>
        <w:commentReference w:id="1"/>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A pre-2020 specification repeats Model 1 on January 2013–December 2019 (84 months). Intervals used model-based, HC1, and Newey–West lag-3 and lag-6 constructions. Benjamini–Hochberg </w:t>
      </w:r>
      <w:r>
        <w:rPr>
          <w:rFonts w:ascii="Times New Roman" w:hAnsi="Times New Roman" w:eastAsia="Times New Roman"/>
          <w:b w:val="0"/>
          <w:i/>
          <w:sz w:val="24"/>
        </w:rPr>
        <w:t>q</w:t>
      </w:r>
      <w:r>
        <w:rPr>
          <w:rFonts w:ascii="Times New Roman" w:hAnsi="Times New Roman" w:eastAsia="Times New Roman"/>
          <w:b w:val="0"/>
          <w:i w:val="0"/>
          <w:sz w:val="24"/>
        </w:rPr>
        <w:t>-values were computed across the twelve full-window Model 1 fits.</w:t>
      </w:r>
    </w:p>
    <w:p>
      <w:pPr>
        <w:keepNext w:val="0"/>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with a further dip in 2020 (CHD 10,237; HF 1,964), while the Census and Statistics Department population aged 35 years or older rose by 17%. Under Newey–West lag-6 reporting, the HF cold-day count ratio per five days was 1.113 (1.053–1.176) before 2020 and 1.073 (1.006–1.144) in 2013–2023. The CHD cold-day ratio was 1.036 (1.007–1.067) before 2020 and 0.995 (0.949–1.043) in the full window. The 84 pre-2020 months are contained in the full window, so these estimates are not independent and interval overlap is not a test of a window difference. No separate 2020–2023 estimate is reported. The CHD hot-night ratio was compatible with 1 before 2020 (1.011, 0.991–1.032) and was 1.022 (1.002–1.042) in the full window. Both full-window estimates have </w:t>
      </w:r>
      <w:r>
        <w:rPr>
          <w:rFonts w:ascii="Times New Roman" w:hAnsi="Times New Roman" w:eastAsia="Times New Roman"/>
          <w:b w:val="0"/>
          <w:i/>
          <w:sz w:val="24"/>
        </w:rPr>
        <w:t>q</w:t>
      </w:r>
      <w:r>
        <w:rPr>
          <w:rFonts w:ascii="Times New Roman" w:hAnsi="Times New Roman" w:eastAsia="Times New Roman"/>
          <w:b w:val="0"/>
          <w:i w:val="0"/>
          <w:sz w:val="24"/>
        </w:rPr>
        <w:t xml:space="preserve"> = 0.192. All twelve full-window </w:t>
      </w:r>
      <w:r>
        <w:rPr>
          <w:rFonts w:ascii="Times New Roman" w:hAnsi="Times New Roman" w:eastAsia="Times New Roman"/>
          <w:b w:val="0"/>
          <w:i/>
          <w:sz w:val="24"/>
        </w:rPr>
        <w:t>q</w:t>
      </w:r>
      <w:r>
        <w:rPr>
          <w:rFonts w:ascii="Times New Roman" w:hAnsi="Times New Roman" w:eastAsia="Times New Roman"/>
          <w:b w:val="0"/>
          <w:i w:val="0"/>
          <w:sz w:val="24"/>
        </w:rPr>
        <w:t>-values exceeded 0.19. Later years were hotter, whereas monthly cold-day frequency was similar.</w:t>
      </w:r>
    </w:p>
    <w:p>
      <w:pPr>
        <w:keepNext w:val="0"/>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The first-event trajectory and thermal point estimates were sensitive to the analysis window. The nested fits do not estimate a pre/post effect. Observed thermal encodings do not supply a complete explanation for the count trajectory. The decline in first events cannot be read as physiological improvement.</w:t>
      </w:r>
    </w:p>
    <w:p>
      <w:pPr>
        <w:keepNext w:val="0"/>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keepNext/>
        <w:pageBreakBefore/>
        <w:spacing w:after="120" w:before="0" w:line="240" w:lineRule="auto"/>
        <w:ind w:firstLine="0"/>
        <w:jc w:val="left"/>
      </w:pPr>
      <w:r>
        <w:rPr>
          <w:rFonts w:ascii="Times New Roman" w:hAnsi="Times New Roman" w:eastAsia="Times New Roman"/>
          <w:b/>
          <w:i w:val="0"/>
          <w:sz w:val="28"/>
        </w:rPr>
        <w:t>Introduction</w:t>
      </w:r>
    </w:p>
    <w:p>
      <w:pPr>
        <w:keepNext w:val="0"/>
        <w:spacing w:after="160" w:before="0" w:line="240" w:lineRule="auto"/>
        <w:ind w:firstLine="720"/>
        <w:jc w:val="both"/>
      </w:pPr>
      <w:r>
        <w:rPr>
          <w:rFonts w:ascii="Times New Roman" w:hAnsi="Times New Roman" w:eastAsia="Times New Roman"/>
          <w:b w:val="0"/>
          <w:i w:val="0"/>
          <w:sz w:val="24"/>
        </w:rPr>
        <w:t>The analysis window is part of the question when an outcome is a monthly count of first events. The 2013–2023 Hong Kong series spans a secular decline, the 2020 disruption of hospital use, and later reopening. It also spans a closed diagnosis interval in which people leave the still-at-risk population after their first event. Care-seeking, depletion, and environmental change can therefore produce similar movements in the observed counts.</w:t>
      </w:r>
    </w:p>
    <w:p>
      <w:pPr>
        <w:keepNext w:val="0"/>
        <w:spacing w:after="160" w:before="0" w:line="240" w:lineRule="auto"/>
        <w:ind w:firstLine="720"/>
        <w:jc w:val="both"/>
      </w:pPr>
      <w:r>
        <w:rPr>
          <w:rFonts w:ascii="Times New Roman" w:hAnsi="Times New Roman" w:eastAsia="Times New Roman"/>
          <w:b w:val="0"/>
          <w:i w:val="0"/>
          <w:sz w:val="24"/>
        </w:rPr>
        <w:t>Hong Kong studies of 2020 describe fewer cardiovascular admissions, not fewer cardiovascular events. Xin et al. reported fewer public hospitalisations in 2020, including cardiovascular admissions, together with additional deaths, particularly cardiovascular deaths and deaths outside public hospitals [34]. Wai et al. found fewer emergency-department visits in January–August 2020 than in the same months of 2019, and higher 28-day mortality among those who did attend [35]. A later Wai et al. cohort of non-COVID deaths likewise paired fewer emergency visits with higher 28-day mortality [36]. Hung et al. documented self-reported avoidance of consultation in a public survey [37]. Tam et al. reported longer delays to ST-elevation myocardial infarction care in Hong Kong in early 2020 [38,39]. Those papers are utilisation and delay series. They are not this diabetes-or-hypertension first-event construction, and their counts are not imported into the tables below.</w:t>
      </w:r>
    </w:p>
    <w:p>
      <w:pPr>
        <w:keepNext w:val="0"/>
        <w:spacing w:after="160" w:before="0" w:line="240" w:lineRule="auto"/>
        <w:ind w:firstLine="720"/>
        <w:jc w:val="both"/>
      </w:pPr>
      <w:r>
        <w:rPr>
          <w:rFonts w:ascii="Times New Roman" w:hAnsi="Times New Roman" w:eastAsia="Times New Roman"/>
          <w:b w:val="0"/>
          <w:i w:val="0"/>
          <w:sz w:val="24"/>
        </w:rPr>
        <w:t>Local thermal studies answer a different question. Earlier daily analyses reported cold-related elevations in acute myocardial infarction and heart-failure admissions [1,21]. A later hot-season study distinguished the official hot-night flag from hourly nighttime excess heat [17]. Those designs estimate daily risk for cause-coded or unplanned admissions. Their coefficients do not transfer to monthly counts of first hospitalisation after a first CHD or HF diagnosis.</w:t>
      </w:r>
    </w:p>
    <w:p>
      <w:pPr>
        <w:keepNext w:val="0"/>
        <w:spacing w:after="160" w:before="0" w:line="240" w:lineRule="auto"/>
        <w:ind w:firstLine="720"/>
        <w:jc w:val="both"/>
      </w:pPr>
      <w:r>
        <w:rPr>
          <w:rFonts w:ascii="Times New Roman" w:hAnsi="Times New Roman" w:eastAsia="Times New Roman"/>
          <w:b w:val="0"/>
          <w:i w:val="0"/>
          <w:sz w:val="24"/>
        </w:rPr>
        <w:t>The later period was hotter, but it was not free of cold days. Monthly mean temperature rose from 23.83 °C in 2013–2019 to 24.30 °C in 2020–2022. Mean monthly hot nights rose from 2.74 to 4.53, whereas mean monthly cold days were similar (1.12 and 1.03). Pollution and influenza also changed across the study period [7,40]. These co-moving series prevent a single thermal encoding from being read as an explanation of the hospital-count trajectory.</w:t>
      </w:r>
    </w:p>
    <w:p>
      <w:pPr>
        <w:keepNext w:val="0"/>
        <w:spacing w:after="160" w:before="0" w:line="240" w:lineRule="auto"/>
        <w:ind w:firstLine="720"/>
        <w:jc w:val="both"/>
      </w:pPr>
      <w:r>
        <w:rPr>
          <w:rFonts w:ascii="Times New Roman" w:hAnsi="Times New Roman" w:eastAsia="Times New Roman"/>
          <w:b w:val="0"/>
          <w:i w:val="0"/>
          <w:sz w:val="24"/>
        </w:rPr>
        <w:t>We describe the first-event trajectory and compare thermal count-ratio point estimates from the full 132 months with the nested 84-month window ending in December 2019. The comparison is an analysis-window sensitivity, not a fitted pre/post effect. The complete twelve-fit Model 1 panel remains visible so that the window comparison is not presented as a selected thermal finding.</w:t>
      </w:r>
    </w:p>
    <w:p>
      <w:pPr>
        <w:keepNext/>
        <w:spacing w:after="120" w:before="240" w:line="240" w:lineRule="auto"/>
        <w:ind w:firstLine="0"/>
        <w:jc w:val="left"/>
      </w:pPr>
      <w:r>
        <w:rPr>
          <w:rFonts w:ascii="Times New Roman" w:hAnsi="Times New Roman" w:eastAsia="Times New Roman"/>
          <w:b/>
          <w:i w:val="0"/>
          <w:sz w:val="28"/>
        </w:rPr>
        <w:t>Methods</w:t>
      </w:r>
    </w:p>
    <w:p>
      <w:pPr>
        <w:keepNext w:val="0"/>
        <w:spacing w:after="160" w:before="0" w:line="240" w:lineRule="auto"/>
        <w:ind w:firstLine="720"/>
        <w:jc w:val="both"/>
      </w:pPr>
      <w:commentRangeStart w:id="2"/>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UW XX-XXX).</w:t>
      </w:r>
      <w:commentRangeEnd w:id="2"/>
      <w:r>
        <w:rPr>
          <w:rStyle w:val="CommentReference"/>
        </w:rPr>
        <w:commentReference w:id="2"/>
      </w:r>
    </w:p>
    <w:p>
      <w:pPr>
        <w:keepNext/>
        <w:spacing w:after="120" w:before="160" w:line="240" w:lineRule="auto"/>
        <w:ind w:firstLine="0"/>
        <w:jc w:val="left"/>
      </w:pPr>
      <w:r>
        <w:rPr>
          <w:rFonts w:ascii="Times New Roman" w:hAnsi="Times New Roman" w:eastAsia="Times New Roman"/>
          <w:b/>
          <w:i w:val="0"/>
          <w:sz w:val="24"/>
        </w:rPr>
        <w:t>Data sources</w:t>
      </w:r>
    </w:p>
    <w:p>
      <w:pPr>
        <w:keepNext/>
        <w:spacing w:after="120" w:before="160" w:line="240" w:lineRule="auto"/>
        <w:ind w:firstLine="0"/>
        <w:jc w:val="left"/>
      </w:pPr>
      <w:r>
        <w:rPr>
          <w:rFonts w:ascii="Times New Roman" w:hAnsi="Times New Roman" w:eastAsia="Times New Roman"/>
          <w:b/>
          <w:i/>
          <w:sz w:val="24"/>
        </w:rPr>
        <w:t>Health data</w:t>
      </w:r>
    </w:p>
    <w:p>
      <w:pPr>
        <w:keepNext w:val="0"/>
        <w:spacing w:after="160" w:before="0" w:line="240" w:lineRule="auto"/>
        <w:ind w:firstLine="720"/>
        <w:jc w:val="both"/>
      </w:pPr>
      <w:commentRangeStart w:id="3"/>
      <w:commentRangeStart w:id="4"/>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 Laboratory measurements were not in the transfer and are not analysed.</w:t>
      </w:r>
      <w:commentRangeEnd w:id="4"/>
      <w:r>
        <w:rPr>
          <w:rStyle w:val="CommentReference"/>
        </w:rPr>
        <w:commentReference w:id="4"/>
      </w:r>
      <w:commentRangeEnd w:id="3"/>
      <w:r>
        <w:rPr>
          <w:rStyle w:val="CommentReference"/>
        </w:rPr>
        <w:commentReference w:id="3"/>
      </w:r>
    </w:p>
    <w:p>
      <w:pPr>
        <w:keepNext w:val="0"/>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keepNext/>
        <w:spacing w:after="120" w:before="160" w:line="240" w:lineRule="auto"/>
        <w:ind w:firstLine="0"/>
        <w:jc w:val="left"/>
      </w:pPr>
      <w:r>
        <w:rPr>
          <w:rFonts w:ascii="Times New Roman" w:hAnsi="Times New Roman" w:eastAsia="Times New Roman"/>
          <w:b/>
          <w:i/>
          <w:sz w:val="24"/>
        </w:rPr>
        <w:t>Weather and pollutants data</w:t>
      </w:r>
    </w:p>
    <w:p>
      <w:pPr>
        <w:keepNext w:val="0"/>
        <w:spacing w:after="160" w:before="0" w:line="240" w:lineRule="auto"/>
        <w:ind w:firstLine="720"/>
        <w:jc w:val="both"/>
      </w:pPr>
      <w:commentRangeStart w:id="5"/>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commentRangeEnd w:id="5"/>
      <w:r>
        <w:rPr>
          <w:rStyle w:val="CommentReference"/>
        </w:rPr>
        <w:commentReference w:id="5"/>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keepNext w:val="0"/>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keepNext/>
        <w:spacing w:after="120" w:before="160" w:line="240" w:lineRule="auto"/>
        <w:ind w:firstLine="0"/>
        <w:jc w:val="left"/>
      </w:pPr>
      <w:r>
        <w:rPr>
          <w:rFonts w:ascii="Times New Roman" w:hAnsi="Times New Roman" w:eastAsia="Times New Roman"/>
          <w:b/>
          <w:i/>
          <w:sz w:val="24"/>
        </w:rPr>
        <w:t>Population</w:t>
      </w:r>
    </w:p>
    <w:p>
      <w:pPr>
        <w:keepNext w:val="0"/>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keepNext/>
        <w:spacing w:after="120" w:before="160" w:line="240" w:lineRule="auto"/>
        <w:ind w:firstLine="0"/>
        <w:jc w:val="left"/>
      </w:pPr>
      <w:r>
        <w:rPr>
          <w:rFonts w:ascii="Times New Roman" w:hAnsi="Times New Roman" w:eastAsia="Times New Roman"/>
          <w:b/>
          <w:i w:val="0"/>
          <w:sz w:val="24"/>
        </w:rPr>
        <w:t>Statistical analysis</w:t>
      </w:r>
    </w:p>
    <w:p>
      <w:pPr>
        <w:keepNext w:val="0"/>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E(Yₜ) = log(dₜ) + α + βXₜ + Σₘ₌₂¹² γₘ I(monthₜ = m) + s(t; 4 df).    (1)</w:t>
      </w:r>
    </w:p>
    <w:p>
      <w:pPr>
        <w:keepNext w:val="0"/>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how much higher or lower month </w:t>
      </w:r>
      <w:r>
        <w:rPr>
          <w:rFonts w:ascii="Times New Roman" w:hAnsi="Times New Roman" w:eastAsia="Times New Roman"/>
          <w:b w:val="0"/>
          <w:i/>
          <w:sz w:val="24"/>
        </w:rPr>
        <w:t>m</w:t>
      </w:r>
      <w:r>
        <w:rPr>
          <w:rFonts w:ascii="Times New Roman" w:hAnsi="Times New Roman" w:eastAsia="Times New Roman"/>
          <w:b w:val="0"/>
          <w:i w:val="0"/>
          <w:sz w:val="24"/>
        </w:rPr>
        <w:t xml:space="preserve"> is than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smooth curve of time with four degrees of freedom, used to capture slow change over the eleven years. In words, the left side is the log of the expected hospital count.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keepNext w:val="0"/>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keepNext w:val="0"/>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w:t>
      </w:r>
      <w:r>
        <w:rPr>
          <w:rFonts w:ascii="Times New Roman" w:hAnsi="Times New Roman" w:eastAsia="Times New Roman"/>
          <w:b w:val="0"/>
          <w:i/>
          <w:sz w:val="24"/>
        </w:rPr>
        <w:t>q</w:t>
      </w:r>
      <w:r>
        <w:rPr>
          <w:rFonts w:ascii="Times New Roman" w:hAnsi="Times New Roman" w:eastAsia="Times New Roman"/>
          <w:b w:val="0"/>
          <w:i w:val="0"/>
          <w:sz w:val="24"/>
        </w:rPr>
        <w:t xml:space="preserve">-value is a </w:t>
      </w:r>
      <w:r>
        <w:rPr>
          <w:rFonts w:ascii="Times New Roman" w:hAnsi="Times New Roman" w:eastAsia="Times New Roman"/>
          <w:b w:val="0"/>
          <w:i/>
          <w:sz w:val="24"/>
        </w:rPr>
        <w:t>p</w:t>
      </w:r>
      <w:r>
        <w:rPr>
          <w:rFonts w:ascii="Times New Roman" w:hAnsi="Times New Roman" w:eastAsia="Times New Roman"/>
          <w:b w:val="0"/>
          <w:i w:val="0"/>
          <w:sz w:val="24"/>
        </w:rPr>
        <w:t xml:space="preserve">-value adjusted for testing the twelve Model 1 fits together [20]. Multiplicity-adjusted </w:t>
      </w:r>
      <w:r>
        <w:rPr>
          <w:rFonts w:ascii="Times New Roman" w:hAnsi="Times New Roman" w:eastAsia="Times New Roman"/>
          <w:b w:val="0"/>
          <w:i/>
          <w:sz w:val="24"/>
        </w:rPr>
        <w:t>q</w:t>
      </w:r>
      <w:r>
        <w:rPr>
          <w:rFonts w:ascii="Times New Roman" w:hAnsi="Times New Roman" w:eastAsia="Times New Roman"/>
          <w:b w:val="0"/>
          <w:i w:val="0"/>
          <w:sz w:val="24"/>
        </w:rPr>
        <w:t>-values were computed on the full 132-month window only.</w:t>
      </w:r>
    </w:p>
    <w:p>
      <w:pPr>
        <w:keepNext w:val="0"/>
        <w:spacing w:after="160" w:before="0" w:line="240" w:lineRule="auto"/>
        <w:ind w:firstLine="720"/>
        <w:jc w:val="both"/>
      </w:pPr>
      <w:r>
        <w:rPr>
          <w:rFonts w:ascii="Times New Roman" w:hAnsi="Times New Roman" w:eastAsia="Times New Roman"/>
          <w:b w:val="0"/>
          <w:i w:val="0"/>
          <w:sz w:val="24"/>
        </w:rPr>
        <w:t>The pre-2020 specification repeats equation (1) on January 2013–December 2019 (84 months). It is a labelled window check, not a 48-month post-2020 primary and not a confirmatory re-fit. COVID-period indicators on the full sample (through January 2020; February 2020–December 2021; January–April 2022; May–December 2022; and from January 2023) are a further labelled specification. They do not replace Model 1, and they do not create a post-only table.</w:t>
      </w:r>
    </w:p>
    <w:p>
      <w:pPr>
        <w:keepNext w:val="0"/>
        <w:spacing w:after="160" w:before="0" w:line="240" w:lineRule="auto"/>
        <w:ind w:firstLine="720"/>
        <w:jc w:val="both"/>
      </w:pPr>
      <w:commentRangeStart w:id="6"/>
      <w:r>
        <w:rPr>
          <w:rFonts w:ascii="Times New Roman" w:hAnsi="Times New Roman" w:eastAsia="Times New Roman"/>
          <w:b w:val="0"/>
          <w:i w:val="0"/>
          <w:sz w:val="24"/>
        </w:rPr>
        <w:t>Model 2 additionally adds monthly mean relative humidity [21] and monthly total rainfall [22] to Model 1. Model 3 counts, for each month, the days whose daily mean temperature was above or below the historical average for that day of the year. Model 2 and Model 3 are specified and are not reported as headline estimates. No Model 3 health coefficients are reported.</w:t>
      </w:r>
      <w:commentRangeEnd w:id="6"/>
      <w:r>
        <w:rPr>
          <w:rStyle w:val="CommentReference"/>
        </w:rPr>
        <w:commentReference w:id="6"/>
      </w:r>
    </w:p>
    <w:p>
      <w:pPr>
        <w:keepNext/>
        <w:spacing w:after="120" w:before="160" w:line="240" w:lineRule="auto"/>
        <w:ind w:firstLine="0"/>
        <w:jc w:val="left"/>
      </w:pPr>
      <w:r>
        <w:rPr>
          <w:rFonts w:ascii="Times New Roman" w:hAnsi="Times New Roman" w:eastAsia="Times New Roman"/>
          <w:b/>
          <w:i w:val="0"/>
          <w:sz w:val="24"/>
        </w:rPr>
        <w:t>Sensitivity analysis</w:t>
      </w:r>
    </w:p>
    <w:p>
      <w:pPr>
        <w:keepNext w:val="0"/>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 and the count ratio per one day is *R*</w:t>
      </w:r>
      <w:r>
        <w:rPr>
          <w:rFonts w:ascii="Times New Roman" w:hAnsi="Times New Roman" w:eastAsia="Times New Roman"/>
          <w:b w:val="0"/>
          <w:i w:val="0"/>
          <w:sz w:val="24"/>
        </w:rPr>
        <w:t>(1/5). Those are the same coefficient on a different scale, not a new model.</w:t>
      </w:r>
    </w:p>
    <w:p>
      <w:pPr>
        <w:keepNext w:val="0"/>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dropping the first 12 or 24 months; weather one or two months earlier; and dropping the most influential month. Cold-day models restricted to November–March are a labelled sensitivity.</w:t>
      </w:r>
    </w:p>
    <w:p>
      <w:pPr>
        <w:keepNext w:val="0"/>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keepNext w:val="0"/>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keepNext w:val="0"/>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keepNext/>
        <w:spacing w:after="120" w:before="160" w:line="240" w:lineRule="auto"/>
        <w:ind w:firstLine="0"/>
        <w:jc w:val="left"/>
      </w:pPr>
      <w:r>
        <w:rPr>
          <w:rFonts w:ascii="Times New Roman" w:hAnsi="Times New Roman" w:eastAsia="Times New Roman"/>
          <w:b/>
          <w:i w:val="0"/>
          <w:sz w:val="24"/>
        </w:rPr>
        <w:t>Software</w:t>
      </w:r>
    </w:p>
    <w:p>
      <w:pPr>
        <w:keepNext w:val="0"/>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keepNext/>
        <w:pageBreakBefore/>
        <w:spacing w:after="120" w:before="0" w:line="240" w:lineRule="auto"/>
        <w:ind w:firstLine="0"/>
        <w:jc w:val="left"/>
      </w:pPr>
      <w:r>
        <w:rPr>
          <w:rFonts w:ascii="Times New Roman" w:hAnsi="Times New Roman" w:eastAsia="Times New Roman"/>
          <w:b/>
          <w:i w:val="0"/>
          <w:sz w:val="28"/>
        </w:rPr>
        <w:t>Results</w:t>
      </w:r>
    </w:p>
    <w:p>
      <w:pPr>
        <w:keepNext/>
        <w:spacing w:after="120" w:before="160" w:line="240" w:lineRule="auto"/>
        <w:ind w:firstLine="0"/>
        <w:jc w:val="left"/>
      </w:pPr>
      <w:r>
        <w:rPr>
          <w:rFonts w:ascii="Times New Roman" w:hAnsi="Times New Roman" w:eastAsia="Times New Roman"/>
          <w:b/>
          <w:i w:val="0"/>
          <w:sz w:val="24"/>
        </w:rPr>
        <w:t>Outcome series</w:t>
      </w:r>
    </w:p>
    <w:p>
      <w:pPr>
        <w:keepNext w:val="0"/>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Most of the count decline preceded 2020: 2019 totals were 12,396 for CHD and 2,344 for HF. Figure 1 therefore shows a secular decline with a pandemic-era trough, rather than a post-2020 health recovery. The series cannot distinguish depletion from changes in care-seeking without monthly still-at-risk person-time.</w:t>
      </w:r>
    </w:p>
    <w:p>
      <w:pPr>
        <w:keepNext/>
        <w:keepLines/>
        <w:pageBreakBefore/>
        <w:spacing w:after="16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800"/>
        <w:gridCol w:w="1080"/>
        <w:gridCol w:w="648"/>
        <w:gridCol w:w="1152"/>
        <w:gridCol w:w="1007"/>
        <w:gridCol w:w="3096"/>
      </w:tblGrid>
      <w:tr>
        <w:trPr>
          <w:cantSplit/>
          <w:tblHeader/>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1800"/>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080"/>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00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30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r>
        <w:br w:type="page"/>
      </w:r>
    </w:p>
    <w:p>
      <w:pPr>
        <w:keepNext/>
        <w:keepLines/>
        <w:spacing w:after="160" w:before="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 The figure does not measure consecutive hot or cold spells, and it is not a physiological series.</w:t>
      </w:r>
    </w:p>
    <w:p>
      <w:pPr>
        <w:keepLines/>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r>
        <w:br w:type="page"/>
      </w:r>
    </w:p>
    <w:p>
      <w:pPr>
        <w:keepNext/>
        <w:spacing w:after="120" w:before="160" w:line="240" w:lineRule="auto"/>
        <w:ind w:firstLine="0"/>
        <w:jc w:val="left"/>
      </w:pPr>
      <w:r>
        <w:rPr>
          <w:rFonts w:ascii="Times New Roman" w:hAnsi="Times New Roman" w:eastAsia="Times New Roman"/>
          <w:b/>
          <w:i w:val="0"/>
          <w:sz w:val="24"/>
        </w:rPr>
        <w:t>Exposure context</w:t>
      </w:r>
    </w:p>
    <w:p>
      <w:pPr>
        <w:keepNext w:val="0"/>
        <w:spacing w:after="160" w:before="0" w:line="240" w:lineRule="auto"/>
        <w:ind w:firstLine="720"/>
        <w:jc w:val="both"/>
      </w:pPr>
      <w:r>
        <w:rPr>
          <w:rFonts w:ascii="Times New Roman" w:hAnsi="Times New Roman" w:eastAsia="Times New Roman"/>
          <w:b w:val="0"/>
          <w:i w:val="0"/>
          <w:sz w:val="24"/>
        </w:rPr>
        <w:t>Mean temperature, hot nights, and very hot days were higher in 2020–2022 than in 2013–2019, whereas monthly cold-day frequency was similar (Supplementary Table S10). These are exposure summaries, not health effects. Of 145 cold days in 2013–2023, 141 fell in December–February. Twenty-nine of 132 months carried at least one official cold day (Figure 2). After calendar-month indicators, the remaining cold-day variation is between-year winter variation, not a summer-versus-winter contrast.</w:t>
      </w:r>
    </w:p>
    <w:p>
      <w:pPr>
        <w:keepNext/>
        <w:keepLines/>
        <w:pageBreakBefore/>
        <w:spacing w:after="160" w:before="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 Identification is between winters, not a consecutive-duration spell, and not a physiological mechanism.</w:t>
      </w:r>
    </w:p>
    <w:p>
      <w:pPr>
        <w:keepLines/>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r>
        <w:br w:type="page"/>
      </w:r>
    </w:p>
    <w:p>
      <w:pPr>
        <w:keepNext/>
        <w:spacing w:after="120" w:before="160" w:line="240" w:lineRule="auto"/>
        <w:ind w:firstLine="0"/>
        <w:jc w:val="left"/>
      </w:pPr>
      <w:r>
        <w:rPr>
          <w:rFonts w:ascii="Times New Roman" w:hAnsi="Times New Roman" w:eastAsia="Times New Roman"/>
          <w:b/>
          <w:i w:val="0"/>
          <w:sz w:val="24"/>
        </w:rPr>
        <w:t>Period-split official-day panel</w:t>
      </w:r>
    </w:p>
    <w:p>
      <w:pPr>
        <w:keepNext/>
        <w:keepLines/>
        <w:pageBreakBefore/>
        <w:spacing w:after="160" w:before="0" w:line="240" w:lineRule="auto"/>
        <w:ind w:firstLine="0"/>
        <w:jc w:val="left"/>
      </w:pPr>
      <w:r>
        <w:rPr>
          <w:rFonts w:ascii="Times New Roman" w:hAnsi="Times New Roman" w:eastAsia="Times New Roman"/>
          <w:b w:val="0"/>
          <w:i/>
          <w:sz w:val="22"/>
        </w:rPr>
        <w:t>Table 2 reports the official-day Model 1 count ratios, per five additional such days in the month, for the full 132 months and for the labelled 84-month specification. Figure 3 is the main identification display for this article, including trend-spline and COVID-phase rows.</w:t>
      </w:r>
    </w:p>
    <w:p>
      <w:pPr>
        <w:keepNext w:val="0"/>
        <w:spacing w:after="160" w:before="0" w:line="240" w:lineRule="auto"/>
        <w:ind w:firstLine="720"/>
        <w:jc w:val="both"/>
      </w:pPr>
      <w:commentRangeStart w:id="7"/>
      <w:r>
        <w:rPr>
          <w:rFonts w:ascii="Times New Roman" w:hAnsi="Times New Roman" w:eastAsia="Times New Roman"/>
          <w:b w:val="0"/>
          <w:i w:val="0"/>
          <w:sz w:val="24"/>
        </w:rPr>
        <w:t xml:space="preserve">The HF cold-day point estimate was 1.113 (1.053–1.176) before 2020 and 1.073 (1.006–1.144) over 2013–2023. The CHD cold-day estimate was 1.036 (1.007–1.067) before 2020 and 0.995 (0.949–1.043) in the full window. The 84 pre-2020 months are contained in the full window, so the estimates are not independent and interval overlap is not a test of a window difference. The CHD hot-night estimate was compatible with 1 before 2020 (1.011, 0.991–1.032) and was 1.022 (1.002–1.042) in the full window. Both displayed full-window estimates have </w:t>
      </w:r>
      <w:commentRangeEnd w:id="7"/>
      <w:r>
        <w:rPr>
          <w:rStyle w:val="CommentReference"/>
        </w:rPr>
        <w:commentReference w:id="7"/>
      </w:r>
      <w:r>
        <w:rPr>
          <w:rFonts w:ascii="Times New Roman" w:hAnsi="Times New Roman" w:eastAsia="Times New Roman"/>
          <w:b w:val="0"/>
          <w:i/>
          <w:sz w:val="24"/>
        </w:rPr>
        <w:t>q</w:t>
      </w:r>
      <w:r>
        <w:rPr>
          <w:rFonts w:ascii="Times New Roman" w:hAnsi="Times New Roman" w:eastAsia="Times New Roman"/>
          <w:b w:val="0"/>
          <w:i w:val="0"/>
          <w:sz w:val="24"/>
        </w:rPr>
        <w:t xml:space="preserve"> = 0.192. COVID-phase indicators on the full sample moved the CHD hot-night ratio to 1.013 (0.994–1.033) and left the HF cold-day ratio at 1.074 (1.006–1.145). These are nested-window sensitivity estimates. No interaction between thermal exposure and period was fitted, and no separate 2020–2023 Model 1 estimate is reported.</w:t>
      </w:r>
    </w:p>
    <w:p>
      <w:pPr>
        <w:keepNext/>
        <w:keepLines/>
        <w:pageBreakBefore/>
        <w:spacing w:after="160" w:before="0" w:line="240" w:lineRule="auto"/>
        <w:ind w:firstLine="0"/>
        <w:jc w:val="left"/>
      </w:pPr>
      <w:commentRangeStart w:id="8"/>
      <w:r>
        <w:rPr>
          <w:rFonts w:ascii="Times New Roman" w:hAnsi="Times New Roman" w:eastAsia="Times New Roman"/>
          <w:b w:val="0"/>
          <w:i/>
          <w:sz w:val="22"/>
        </w:rPr>
        <w:t>Table 2. Official-day count ratios in the full window and in January 2013–December 2019 (Newey–West lag-6). Each estimate is the Model 1 count ratio per five additional official days in the month. Pre-2020 is a labelled specification (84 months). Benjamini–Hochberg q-values apply to the twelve full-window Model 1 fits only.</w:t>
      </w:r>
      <w:commentRangeEnd w:id="8"/>
      <w:r>
        <w:rPr>
          <w:rStyle w:val="CommentReference"/>
        </w:rPr>
        <w:commentReference w:id="8"/>
      </w:r>
    </w:p>
    <w:tbl>
      <w:tblPr>
        <w:tblStyle w:val="TableGrid"/>
        <w:tblLayout w:type="fixed"/>
        <w:tblLook w:firstColumn="1" w:firstRow="1" w:lastColumn="0" w:lastRow="0" w:noHBand="0" w:noVBand="1" w:val="04A0"/>
        <w:tblW w:w="5000" w:type="pct"/>
        <w:tblLayout w:type="fixed"/>
      </w:tblPr>
      <w:tblGrid>
        <w:gridCol w:w="1296"/>
        <w:gridCol w:w="2015"/>
        <w:gridCol w:w="2736"/>
        <w:gridCol w:w="2736"/>
      </w:tblGrid>
      <w:tr>
        <w:trPr>
          <w:cantSplit/>
          <w:tblHeader/>
        </w:trPr>
        <w:tc>
          <w:tcPr>
            <w:tcW w:type="dxa" w:w="12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01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2013–2023 (132 months)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Pre-2020 (84 months)</w:t>
            </w:r>
          </w:p>
        </w:tc>
      </w:tr>
      <w:tr>
        <w:trPr>
          <w:cantSplit/>
        </w:trPr>
        <w:tc>
          <w:tcPr>
            <w:tcW w:type="dxa" w:w="12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1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12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1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12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1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12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1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12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1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129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201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736"/>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r>
    </w:tbl>
    <w:p>
      <w:r>
        <w:br w:type="page"/>
      </w:r>
    </w:p>
    <w:p>
      <w:pPr>
        <w:keepNext/>
        <w:keepLines/>
        <w:spacing w:after="160" w:before="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a supplement, not a physiology panel.</w:t>
      </w:r>
    </w:p>
    <w:p>
      <w:pPr>
        <w:keepLines/>
        <w:spacing w:after="80" w:before="0" w:line="240" w:lineRule="auto"/>
        <w:ind w:firstLine="0"/>
        <w:jc w:val="center"/>
      </w:pPr>
      <w:r>
        <w:drawing>
          <wp:inline xmlns:a="http://schemas.openxmlformats.org/drawingml/2006/main" xmlns:pic="http://schemas.openxmlformats.org/drawingml/2006/picture">
            <wp:extent cx="4627983" cy="5486399"/>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4627983" cy="5486399"/>
                    </a:xfrm>
                    <a:prstGeom prst="rect"/>
                  </pic:spPr>
                </pic:pic>
              </a:graphicData>
            </a:graphic>
          </wp:inline>
        </w:drawing>
      </w:r>
    </w:p>
    <w:p>
      <w:r>
        <w:br w:type="page"/>
      </w:r>
    </w:p>
    <w:p>
      <w:pPr>
        <w:keepNext/>
        <w:spacing w:after="120" w:before="160" w:line="240" w:lineRule="auto"/>
        <w:ind w:firstLine="0"/>
        <w:jc w:val="left"/>
      </w:pPr>
      <w:r>
        <w:rPr>
          <w:rFonts w:ascii="Times New Roman" w:hAnsi="Times New Roman" w:eastAsia="Times New Roman"/>
          <w:b/>
          <w:i w:val="0"/>
          <w:sz w:val="24"/>
        </w:rPr>
        <w:t>Full thermal panel and uncertainty</w:t>
      </w:r>
    </w:p>
    <w:p>
      <w:pPr>
        <w:keepNext w:val="0"/>
        <w:spacing w:after="160" w:before="0" w:line="240" w:lineRule="auto"/>
        <w:ind w:firstLine="720"/>
        <w:jc w:val="both"/>
      </w:pPr>
      <w:r>
        <w:rPr>
          <w:rFonts w:ascii="Times New Roman" w:hAnsi="Times New Roman" w:eastAsia="Times New Roman"/>
          <w:b w:val="0"/>
          <w:i w:val="0"/>
          <w:sz w:val="24"/>
        </w:rPr>
        <w:t xml:space="preserve">The complete twelve-fit Model 1 panel, with all four uncertainty constructions, is reported in Supplementary Table S1. All twelve full-window </w:t>
      </w:r>
      <w:r>
        <w:rPr>
          <w:rFonts w:ascii="Times New Roman" w:hAnsi="Times New Roman" w:eastAsia="Times New Roman"/>
          <w:b w:val="0"/>
          <w:i/>
          <w:sz w:val="24"/>
        </w:rPr>
        <w:t>q</w:t>
      </w:r>
      <w:r>
        <w:rPr>
          <w:rFonts w:ascii="Times New Roman" w:hAnsi="Times New Roman" w:eastAsia="Times New Roman"/>
          <w:b w:val="0"/>
          <w:i w:val="0"/>
          <w:sz w:val="24"/>
        </w:rPr>
        <w:t>-values exceeded 0.19; the minimum was 0.192. No fit meets a multiplicity-protected confirmatory threshold.</w:t>
      </w:r>
    </w:p>
    <w:p>
      <w:pPr>
        <w:keepNext/>
        <w:keepLines/>
        <w:pageBreakBefore/>
        <w:spacing w:after="160" w:before="0" w:line="240" w:lineRule="auto"/>
        <w:ind w:firstLine="0"/>
        <w:jc w:val="left"/>
      </w:pPr>
      <w:r>
        <w:rPr>
          <w:rFonts w:ascii="Times New Roman" w:hAnsi="Times New Roman" w:eastAsia="Times New Roman"/>
          <w:b w:val="0"/>
          <w:i/>
          <w:sz w:val="22"/>
        </w:rPr>
        <w:t>Table 3. Uncertainty ladder for four diagnostic contrasts.</w:t>
      </w:r>
    </w:p>
    <w:tbl>
      <w:tblPr>
        <w:tblStyle w:val="TableGrid"/>
        <w:tblLayout w:type="fixed"/>
        <w:tblLook w:firstColumn="1" w:firstRow="1" w:lastColumn="0" w:lastRow="0" w:noHBand="0" w:noVBand="1" w:val="04A0"/>
        <w:tblW w:w="5000" w:type="pct"/>
        <w:tblLayout w:type="fixed"/>
      </w:tblPr>
      <w:tblGrid>
        <w:gridCol w:w="2448"/>
        <w:gridCol w:w="1584"/>
        <w:gridCol w:w="1584"/>
        <w:gridCol w:w="1584"/>
        <w:gridCol w:w="1584"/>
      </w:tblGrid>
      <w:tr>
        <w:trPr>
          <w:cantSplit/>
          <w:tblHeader/>
        </w:trPr>
        <w:tc>
          <w:tcPr>
            <w:tcW w:type="dxa" w:w="24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4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(1.000–1.044)</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4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 mean temperature / 1 °C</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(0.956–0.993)</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(0.949–1.000)</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(0.949–1.001)</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r>
      <w:tr>
        <w:trPr>
          <w:cantSplit/>
        </w:trPr>
        <w:tc>
          <w:tcPr>
            <w:tcW w:type="dxa" w:w="24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 mean minimum temperature / 1 °C</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(0.956–0.991)</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(0.950–0.997)</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(0.948–0.999)</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r>
      <w:tr>
        <w:trPr>
          <w:cantSplit/>
        </w:trPr>
        <w:tc>
          <w:tcPr>
            <w:tcW w:type="dxa" w:w="2448"/>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58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58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58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584"/>
            <w:tcMar>
              <w:top w:w="40" w:type="dxa"/>
              <w:left w:w="55" w:type="dxa"/>
              <w:bottom w:w="40" w:type="dxa"/>
              <w:right w:w="55"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r>
        <w:br w:type="page"/>
      </w:r>
    </w:p>
    <w:p>
      <w:pPr>
        <w:keepNext w:val="0"/>
        <w:spacing w:after="160" w:before="0" w:line="240" w:lineRule="auto"/>
        <w:ind w:firstLine="720"/>
        <w:jc w:val="both"/>
      </w:pPr>
      <w:r>
        <w:rPr>
          <w:rFonts w:ascii="Times New Roman" w:hAnsi="Times New Roman" w:eastAsia="Times New Roman"/>
          <w:b w:val="0"/>
          <w:i w:val="0"/>
          <w:sz w:val="24"/>
        </w:rPr>
        <w:t>For CHD hot nights, the model-based and HC1 intervals included 1, while the Newey–West intervals excluded 1. Those robust intervals were narrower, not wider, than the model-based interval. For HF mean and minimum temperature, the model-based intervals excluded 1, whereas the Newey–West lag-6 intervals included 1. HF cold days excluded 1 under all four constructions. No construction was selected because it excluded 1, and agreement across constructions does not create multiplicity protection.</w:t>
      </w:r>
    </w:p>
    <w:p>
      <w:pPr>
        <w:keepNext/>
        <w:spacing w:after="120" w:before="160" w:line="240" w:lineRule="auto"/>
        <w:ind w:firstLine="0"/>
        <w:jc w:val="left"/>
      </w:pPr>
      <w:r>
        <w:rPr>
          <w:rFonts w:ascii="Times New Roman" w:hAnsi="Times New Roman" w:eastAsia="Times New Roman"/>
          <w:b/>
          <w:i w:val="0"/>
          <w:sz w:val="24"/>
        </w:rPr>
        <w:t>Analysis-window context</w:t>
      </w:r>
    </w:p>
    <w:p>
      <w:pPr>
        <w:keepNext w:val="0"/>
        <w:spacing w:after="160" w:before="0" w:line="240" w:lineRule="auto"/>
        <w:ind w:firstLine="720"/>
        <w:jc w:val="both"/>
      </w:pPr>
      <w:r>
        <w:rPr>
          <w:rFonts w:ascii="Times New Roman" w:hAnsi="Times New Roman" w:eastAsia="Times New Roman"/>
          <w:b w:val="0"/>
          <w:i w:val="0"/>
          <w:sz w:val="24"/>
        </w:rPr>
        <w:t>Before 2020, mean temperature was inversely associated with both outcomes (CHD 0.980, 0.970–0.990; HF 0.945, 0.927–0.963). In the same 84 months, the HF hot-night estimate was 0.965 (0.937–0.994), while the HF cold-day estimate was 1.113 (1.053–1.176). Nine of the twelve Newey–West lag-6 intervals excluded 1 in that nested window, including all six continuous-temperature contrasts (Supplementary Table S2; Supplementary Figure S6). No multiplicity control was computed within that window. The panel is not a uniformly null monthly result, and the pre-2020 estimates are not promoted beyond sensitivity analyses.</w:t>
      </w:r>
    </w:p>
    <w:p>
      <w:pPr>
        <w:keepNext/>
        <w:spacing w:after="120" w:before="160" w:line="240" w:lineRule="auto"/>
        <w:ind w:firstLine="0"/>
        <w:jc w:val="left"/>
      </w:pPr>
      <w:r>
        <w:rPr>
          <w:rFonts w:ascii="Times New Roman" w:hAnsi="Times New Roman" w:eastAsia="Times New Roman"/>
          <w:b/>
          <w:i w:val="0"/>
          <w:sz w:val="24"/>
        </w:rPr>
        <w:t>Joint models, residuals, and influence</w:t>
      </w:r>
    </w:p>
    <w:p>
      <w:pPr>
        <w:keepNext w:val="0"/>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therefore part of the CHD mean-model problem, not only an interval problem.</w:t>
      </w:r>
    </w:p>
    <w:p>
      <w:pPr>
        <w:keepNext w:val="0"/>
        <w:spacing w:after="160" w:before="0" w:line="240" w:lineRule="auto"/>
        <w:ind w:firstLine="720"/>
        <w:jc w:val="both"/>
      </w:pPr>
      <w:r>
        <w:rPr>
          <w:rFonts w:ascii="Times New Roman" w:hAnsi="Times New Roman" w:eastAsia="Times New Roman"/>
          <w:b w:val="0"/>
          <w:i w:val="0"/>
          <w:sz w:val="24"/>
        </w:rPr>
        <w:t>Across trend, window, and COVID-phase specifications, the CHD hot-night point estimate ranged from 1.011 to 1.025, and the HF cold-day estimate from 1.043 to 1.113 (Figure 3). February 2020 had the largest Cook’s distance for CHD; February 2022 did so for HF cold days. Excluding those months left the directions unchanged (CHD hot nights 1.021, 1.001–1.040; HF cold days 1.088, 1.034–1.144). Full lag, influence, collinearity, residual, and daily-recovery diagnostics are reported in Supplementary Tables S3–S8.</w:t>
      </w:r>
    </w:p>
    <w:p>
      <w:pPr>
        <w:keepNext/>
        <w:pageBreakBefore/>
        <w:spacing w:after="120" w:before="0" w:line="240" w:lineRule="auto"/>
        <w:ind w:firstLine="0"/>
        <w:jc w:val="left"/>
      </w:pPr>
      <w:r>
        <w:rPr>
          <w:rFonts w:ascii="Times New Roman" w:hAnsi="Times New Roman" w:eastAsia="Times New Roman"/>
          <w:b/>
          <w:i w:val="0"/>
          <w:sz w:val="28"/>
        </w:rPr>
        <w:t>Discussion</w:t>
      </w:r>
    </w:p>
    <w:p>
      <w:pPr>
        <w:keepNext w:val="0"/>
        <w:spacing w:after="160" w:before="0" w:line="240" w:lineRule="auto"/>
        <w:ind w:firstLine="720"/>
        <w:jc w:val="both"/>
      </w:pPr>
      <w:r>
        <w:rPr>
          <w:rFonts w:ascii="Times New Roman" w:hAnsi="Times New Roman" w:eastAsia="Times New Roman"/>
          <w:b w:val="0"/>
          <w:i w:val="0"/>
          <w:sz w:val="24"/>
        </w:rPr>
        <w:t xml:space="preserve">The principal result is sensitivity to the analysis window, not a pre/post effect. First-event counts had already fallen substantially by 2019, followed by a further trough in 2020. The cold-day point estimates were smaller in the full window than in the nested pre-2020 window, but their confidence intervals overlapped. The CHD hot-night interval excluded 1 only in the full window. No exposure-by-period interaction was fitted. All twelve full-window </w:t>
      </w:r>
      <w:r>
        <w:rPr>
          <w:rFonts w:ascii="Times New Roman" w:hAnsi="Times New Roman" w:eastAsia="Times New Roman"/>
          <w:b w:val="0"/>
          <w:i/>
          <w:sz w:val="24"/>
        </w:rPr>
        <w:t>q</w:t>
      </w:r>
      <w:r>
        <w:rPr>
          <w:rFonts w:ascii="Times New Roman" w:hAnsi="Times New Roman" w:eastAsia="Times New Roman"/>
          <w:b w:val="0"/>
          <w:i w:val="0"/>
          <w:sz w:val="24"/>
        </w:rPr>
        <w:t>-values exceeded 0.19.</w:t>
      </w:r>
    </w:p>
    <w:p>
      <w:pPr>
        <w:keepNext w:val="0"/>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Hong Kong studies reported fewer public hospitalisations and emergency-department visits in 2020, together with more cardiovascular or out-of-hospital deaths [34–36]. A public survey found avoidance of medical consultation [37]. Studies of ST-elevation myocardial infarction found delayed presentation and a worse in-hospital course [38,39]. These are care-seeking and system-shock patterns, not evidence of improved cardiovascular health. They cannot determine how much of the present count trajectory reflects delayed or avoided care.</w:t>
      </w:r>
    </w:p>
    <w:p>
      <w:pPr>
        <w:keepNext w:val="0"/>
        <w:spacing w:after="160" w:before="0" w:line="240" w:lineRule="auto"/>
        <w:ind w:firstLine="0"/>
        <w:jc w:val="both"/>
      </w:pPr>
      <w:r>
        <w:rPr>
          <w:rFonts w:ascii="Times New Roman" w:hAnsi="Times New Roman" w:eastAsia="Times New Roman"/>
          <w:b/>
          <w:i w:val="0"/>
          <w:sz w:val="24"/>
        </w:rPr>
        <w:t>First-event depletion.</w:t>
      </w:r>
      <w:r>
        <w:rPr>
          <w:rFonts w:ascii="Times New Roman" w:hAnsi="Times New Roman" w:eastAsia="Times New Roman"/>
          <w:b w:val="0"/>
          <w:i w:val="0"/>
          <w:sz w:val="24"/>
        </w:rPr>
        <w:t xml:space="preserve"> The outcome can occur only once after a person’s first CHD or HF diagnosis in the study window. People leave the risk set after that event. The decline in Figure 1 is therefore compatible with a shrinking still-at-risk population, but monthly person-time was unavailable [14]. General-population growth does not resolve that denominator problem.</w:t>
      </w:r>
    </w:p>
    <w:p>
      <w:pPr>
        <w:keepNext w:val="0"/>
        <w:spacing w:after="160" w:before="0" w:line="240" w:lineRule="auto"/>
        <w:ind w:firstLine="0"/>
        <w:jc w:val="both"/>
      </w:pPr>
      <w:r>
        <w:rPr>
          <w:rFonts w:ascii="Times New Roman" w:hAnsi="Times New Roman" w:eastAsia="Times New Roman"/>
          <w:b/>
          <w:i w:val="0"/>
          <w:sz w:val="24"/>
        </w:rPr>
        <w:t>Weather entanglement.</w:t>
      </w:r>
      <w:r>
        <w:rPr>
          <w:rFonts w:ascii="Times New Roman" w:hAnsi="Times New Roman" w:eastAsia="Times New Roman"/>
          <w:b w:val="0"/>
          <w:i w:val="0"/>
          <w:sz w:val="24"/>
        </w:rPr>
        <w:t xml:space="preserve"> The later period was hotter, whereas monthly cold-day frequency was similar. Hot nights rose in the same years in which care-seeking changed, and the CHD hot-night interval excluded 1 only when those years were included. Continuous-temperature and official-day estimates also differed in the nested window. The observed thermal encodings therefore do not supply a complete explanation for the count trajectory. They are not evidence that weather was irrelevant.</w:t>
      </w:r>
    </w:p>
    <w:p>
      <w:pPr>
        <w:keepNext w:val="0"/>
        <w:spacing w:after="160" w:before="0" w:line="240" w:lineRule="auto"/>
        <w:ind w:firstLine="720"/>
        <w:jc w:val="both"/>
      </w:pPr>
      <w:r>
        <w:rPr>
          <w:rFonts w:ascii="Times New Roman" w:hAnsi="Times New Roman" w:eastAsia="Times New Roman"/>
          <w:b w:val="0"/>
          <w:i w:val="0"/>
          <w:sz w:val="24"/>
        </w:rPr>
        <w:t>An immune-recovery explanation is not supported by this extract. Studies in Hong Kong have associated vaccination with lower cardiovascular risk after documented SARS-CoV-2 infection [42]. That is prevention of post-infection complications, not improvement in baseline first-event risk. Post-acute SARS-CoV-2 infection has instead been associated with higher cardiovascular risk [41]. Infection, vaccination, antibody levels, and laboratory measures were not in the monthly transfer.</w:t>
      </w:r>
    </w:p>
    <w:p>
      <w:pPr>
        <w:keepNext w:val="0"/>
        <w:spacing w:after="160" w:before="0" w:line="240" w:lineRule="auto"/>
        <w:ind w:firstLine="720"/>
        <w:jc w:val="both"/>
      </w:pPr>
      <w:r>
        <w:rPr>
          <w:rFonts w:ascii="Times New Roman" w:hAnsi="Times New Roman" w:eastAsia="Times New Roman"/>
          <w:b w:val="0"/>
          <w:i w:val="0"/>
          <w:sz w:val="24"/>
        </w:rPr>
        <w:t>Influenza transmission fell sharply during Hong Kong’s early pandemic interventions [40]. The archive influenza model covers 121 months and is not a core-adjusted Model 1 estimate (Supplementary Table S7). Pollution also declined across the decade [7]. Archive pollution models use a different joint-temperature specification and a population × days offset (Supplementary Table S9). Infection and pollution therefore remain unresolved co-exposures rather than explanations established by this analysis.</w:t>
      </w:r>
    </w:p>
    <w:p>
      <w:pPr>
        <w:keepNext w:val="0"/>
        <w:spacing w:after="160" w:before="0" w:line="240" w:lineRule="auto"/>
        <w:ind w:firstLine="720"/>
        <w:jc w:val="both"/>
      </w:pPr>
      <w:r>
        <w:rPr>
          <w:rFonts w:ascii="Times New Roman" w:hAnsi="Times New Roman" w:eastAsia="Times New Roman"/>
          <w:b w:val="0"/>
          <w:i w:val="0"/>
          <w:sz w:val="24"/>
        </w:rPr>
        <w:t>This result bears on a common interpretive failure in coarse first-event series. A lower observed count can reflect a smaller risk set or less hospital use. A smaller coefficient in a longer, nested window is not a period effect. A monthly official-day total also does not distinguish consecutive days from days scattered through the month. Five additional official days is a reporting scale, not a duration threshold.</w:t>
      </w:r>
    </w:p>
    <w:p>
      <w:pPr>
        <w:keepNext/>
        <w:pageBreakBefore/>
        <w:spacing w:after="120" w:before="0" w:line="240" w:lineRule="auto"/>
        <w:ind w:firstLine="0"/>
        <w:jc w:val="left"/>
      </w:pPr>
      <w:r>
        <w:rPr>
          <w:rFonts w:ascii="Times New Roman" w:hAnsi="Times New Roman" w:eastAsia="Times New Roman"/>
          <w:b/>
          <w:i w:val="0"/>
          <w:sz w:val="28"/>
        </w:rPr>
        <w:t>Strengths and limitations</w:t>
      </w:r>
    </w:p>
    <w:p>
      <w:pPr>
        <w:keepNext w:val="0"/>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count trajectory and thermal estimates are kept as separate objects. The full twelve-fit panel is reported, including all null and discordant estimates. Uncertainty is shown under four constructions. Figures 1–3 show the secular decline, the limited distribution of cold-day exposure, and sensitivity to the analysis window and time trend.</w:t>
      </w:r>
    </w:p>
    <w:p>
      <w:pPr>
        <w:keepNext w:val="0"/>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still-at-risk person-time was unavailable; the estimates are count ratios rather than incidence-rate ratios [14]. Laboratory, infection, vaccination, age, sex, and disease-subtype series were not delivered. No exposure-by-period interaction or post-only Model 1 was fitted. The design is ecological and monthly, so individual and daily-trigger interpretations are not identified [14]. CHD residual serial correlation remained material (lag-1 autocorrelation 0.508). Only 29 of 132 months carried an official cold day. Exposure was assigned from one Observatory station. Confounding by pollution, humidity, rainfall, influenza, and changes in hospital use remains unresolved. Stroke was not available.</w:t>
      </w:r>
    </w:p>
    <w:p>
      <w:pPr>
        <w:keepNext/>
        <w:spacing w:after="120" w:before="240" w:line="240" w:lineRule="auto"/>
        <w:ind w:firstLine="0"/>
        <w:jc w:val="left"/>
      </w:pPr>
      <w:r>
        <w:rPr>
          <w:rFonts w:ascii="Times New Roman" w:hAnsi="Times New Roman" w:eastAsia="Times New Roman"/>
          <w:b/>
          <w:i w:val="0"/>
          <w:sz w:val="28"/>
        </w:rPr>
        <w:t>Conclusion</w:t>
      </w:r>
    </w:p>
    <w:p>
      <w:pPr>
        <w:keepNext w:val="0"/>
        <w:spacing w:after="160" w:before="0" w:line="240" w:lineRule="auto"/>
        <w:ind w:firstLine="720"/>
        <w:jc w:val="both"/>
      </w:pPr>
      <w:r>
        <w:rPr>
          <w:rFonts w:ascii="Times New Roman" w:hAnsi="Times New Roman" w:eastAsia="Times New Roman"/>
          <w:b w:val="0"/>
          <w:i w:val="0"/>
          <w:sz w:val="24"/>
        </w:rPr>
        <w:t>Monthly first CHD and HF hospitalisations declined across 2013–2023, with a further trough in 2020. Cold-day point estimates were larger in the nested pre-2020 window than in the full window, but the intervals overlapped and no period interaction was fitted. Later years were hotter, while cold-day frequency was similar. The thermal variables do not supply a complete explanation for the count trajectory. The data show analysis-window sensitivity and do not show improved cardiovascular health after COVID-19.</w:t>
      </w:r>
    </w:p>
    <w:p>
      <w:pPr>
        <w:keepNext/>
        <w:spacing w:after="120" w:before="240" w:line="240" w:lineRule="auto"/>
        <w:ind w:firstLine="0"/>
        <w:jc w:val="left"/>
      </w:pPr>
      <w:r>
        <w:rPr>
          <w:rFonts w:ascii="Times New Roman" w:hAnsi="Times New Roman" w:eastAsia="Times New Roman"/>
          <w:b/>
          <w:i w:val="0"/>
          <w:sz w:val="28"/>
        </w:rPr>
        <w:t>Declaration on the use of AI</w:t>
      </w:r>
    </w:p>
    <w:p>
      <w:pPr>
        <w:keepNext w:val="0"/>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keepNext/>
        <w:spacing w:after="120" w:before="240" w:line="240" w:lineRule="auto"/>
        <w:ind w:firstLine="0"/>
        <w:jc w:val="left"/>
      </w:pPr>
      <w:r>
        <w:rPr>
          <w:rFonts w:ascii="Times New Roman" w:hAnsi="Times New Roman" w:eastAsia="Times New Roman"/>
          <w:b/>
          <w:i w:val="0"/>
          <w:sz w:val="28"/>
        </w:rPr>
        <w:t>Declaration of competing interest</w:t>
      </w:r>
    </w:p>
    <w:p>
      <w:pPr>
        <w:keepNext w:val="0"/>
        <w:spacing w:after="160" w:before="0" w:line="240" w:lineRule="auto"/>
        <w:ind w:firstLine="720"/>
        <w:jc w:val="both"/>
      </w:pPr>
      <w:r>
        <w:rPr>
          <w:rFonts w:ascii="Times New Roman" w:hAnsi="Times New Roman" w:eastAsia="Times New Roman"/>
          <w:b w:val="0"/>
          <w:i w:val="0"/>
          <w:sz w:val="24"/>
        </w:rPr>
        <w:t>The authors declare no competing interests.</w:t>
      </w:r>
    </w:p>
    <w:p>
      <w:pPr>
        <w:keepNext/>
        <w:spacing w:after="120" w:before="240" w:line="240" w:lineRule="auto"/>
        <w:ind w:firstLine="0"/>
        <w:jc w:val="left"/>
      </w:pPr>
      <w:r>
        <w:rPr>
          <w:rFonts w:ascii="Times New Roman" w:hAnsi="Times New Roman" w:eastAsia="Times New Roman"/>
          <w:b/>
          <w:i w:val="0"/>
          <w:sz w:val="28"/>
        </w:rPr>
        <w:t>Acknowledgements</w:t>
      </w:r>
    </w:p>
    <w:p>
      <w:pPr>
        <w:keepNext w:val="0"/>
        <w:spacing w:after="160" w:before="0" w:line="240" w:lineRule="auto"/>
        <w:ind w:firstLine="720"/>
        <w:jc w:val="both"/>
      </w:pPr>
      <w:r>
        <w:rPr>
          <w:rFonts w:ascii="Times New Roman" w:hAnsi="Times New Roman" w:eastAsia="Times New Roman"/>
          <w:b w:val="0"/>
          <w:i w:val="0"/>
          <w:sz w:val="24"/>
        </w:rPr>
        <w:t>None.</w:t>
      </w:r>
    </w:p>
    <w:p>
      <w:pPr>
        <w:keepNext/>
        <w:spacing w:after="120" w:before="240" w:line="240" w:lineRule="auto"/>
        <w:ind w:firstLine="0"/>
        <w:jc w:val="left"/>
      </w:pPr>
      <w:r>
        <w:rPr>
          <w:rFonts w:ascii="Times New Roman" w:hAnsi="Times New Roman" w:eastAsia="Times New Roman"/>
          <w:b/>
          <w:i w:val="0"/>
          <w:sz w:val="28"/>
        </w:rPr>
        <w:t>Data and code availability</w:t>
      </w:r>
    </w:p>
    <w:p>
      <w:pPr>
        <w:keepNext w:val="0"/>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keepNext/>
        <w:pageBreakBefore/>
        <w:spacing w:after="120" w:before="0" w:line="240" w:lineRule="auto"/>
        <w:ind w:firstLine="0"/>
        <w:jc w:val="left"/>
      </w:pPr>
      <w:r>
        <w:rPr>
          <w:rFonts w:ascii="Times New Roman" w:hAnsi="Times New Roman" w:eastAsia="Times New Roman"/>
          <w:b/>
          <w:i w:val="0"/>
          <w:sz w:val="28"/>
        </w:rPr>
        <w:t>References</w:t>
      </w:r>
    </w:p>
    <w:p>
      <w:pPr>
        <w:spacing w:after="60" w:before="0" w:line="240" w:lineRule="auto"/>
        <w:ind w:left="425" w:hanging="425"/>
        <w:jc w:val="left"/>
      </w:pPr>
      <w:r>
        <w:rPr>
          <w:rFonts w:ascii="Times New Roman" w:hAnsi="Times New Roman" w:eastAsia="Times New Roman"/>
          <w:b w:val="0"/>
          <w:i w:val="0"/>
          <w:sz w:val="22"/>
        </w:rPr>
        <w:t xml:space="preserve">1. Goggins WB, Chan EYY, Yang CY. Weather, pollution, and acute myocardial infarction in Hong Kong and Taiwan.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2013;168(1):243-249. doi:10.1016/j.ijcard.2012.09.087 2. Hong Kong Observatory. The Year's Weather — 2013. https://www.hko.gov.hk/en/wxinfo/pastwx/ywx2013.htm 3. Hong Kong Observatory. The Year's Weather — 2017. https://www.hko.gov.hk/en/wxinfo/pastwx/2017/ywx2017.htm 4. Hong Kong Observatory. The Year's Weather — 2021. https://www.hko.gov.hk/en/wxinfo/pastwx/2021/ywx2021.htm 5. Hong Kong Observatory. The Year's Weather — 2024. https://www.hko.gov.hk/en/wxinfo/pastwx/2024/ywx2024.htm 6. Hong Kong Observatory. Hong Kong Observatory Open Data. https://www.hko.gov.hk/en/abouthko/opendata_intro.htm 7. Environmental Protection Department. Environmental Protection Interactive Centre: Air Quality Data. https://cd.epic.epd.gov.hk/EPICDI/air/station/?lang=en 8. Census and Statistics Department. Population by Sex and Age Group (Table 110-01001). https://data.gov.hk/en-data/dataset/hk-censtatd-tablechart-110-01001 9. Ye X, Wolff R, Yu W, Vaneckova P, Pan X, Tong S. Ambient temperature and morbidity: a review of epidemiological evidence. </w:t>
      </w:r>
      <w:r>
        <w:rPr>
          <w:rFonts w:ascii="Times New Roman" w:hAnsi="Times New Roman" w:eastAsia="Times New Roman"/>
          <w:b w:val="0"/>
          <w:i/>
          <w:sz w:val="22"/>
        </w:rPr>
        <w:t>Environ Health Perspect</w:t>
      </w:r>
      <w:r>
        <w:rPr>
          <w:rFonts w:ascii="Times New Roman" w:hAnsi="Times New Roman" w:eastAsia="Times New Roman"/>
          <w:b w:val="0"/>
          <w:i w:val="0"/>
          <w:sz w:val="22"/>
        </w:rPr>
        <w:t xml:space="preserve">. 2012;120(1):19-28. doi:10.1289/ehp.1003198 10. Bhaskaran K, Gasparrini A, Hajat S, Smeeth L, Armstrong B. Time series regression studies in environmental epidemiology.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2013;42(4):1187-1195. doi:10.1093/ije/dyt092 11. Goggins WB, Woo J, Ho S, Chan EYY, Chau PH. Weather, season, and daily stroke admissions in Hong Kong. </w:t>
      </w:r>
      <w:r>
        <w:rPr>
          <w:rFonts w:ascii="Times New Roman" w:hAnsi="Times New Roman" w:eastAsia="Times New Roman"/>
          <w:b w:val="0"/>
          <w:i/>
          <w:sz w:val="22"/>
        </w:rPr>
        <w:t>Int J Biometeorol</w:t>
      </w:r>
      <w:r>
        <w:rPr>
          <w:rFonts w:ascii="Times New Roman" w:hAnsi="Times New Roman" w:eastAsia="Times New Roman"/>
          <w:b w:val="0"/>
          <w:i w:val="0"/>
          <w:sz w:val="22"/>
        </w:rPr>
        <w:t xml:space="preserve">. 2012;56(5):865-872. doi:10.1007/s00484-011-0491-9 12. Liu J, Hansen A, Varghese B, et al. Cause-specific mortality attributable to cold and hot ambient temperatures in Hong Kong: a time-series study, 2006–2016. </w:t>
      </w:r>
      <w:r>
        <w:rPr>
          <w:rFonts w:ascii="Times New Roman" w:hAnsi="Times New Roman" w:eastAsia="Times New Roman"/>
          <w:b w:val="0"/>
          <w:i/>
          <w:sz w:val="22"/>
        </w:rPr>
        <w:t>Sustain Cities Soc</w:t>
      </w:r>
      <w:r>
        <w:rPr>
          <w:rFonts w:ascii="Times New Roman" w:hAnsi="Times New Roman" w:eastAsia="Times New Roman"/>
          <w:b w:val="0"/>
          <w:i w:val="0"/>
          <w:sz w:val="22"/>
        </w:rPr>
        <w:t xml:space="preserve">. 2020;57:102131. doi:10.1016/j.scs.2020.102131 13. Liu Z, Ren C, Liu J, Kawasaki Y, Bishai DM. Modelling the excess mortality associated with heat waves in Hong Kong: 2014–2023. medRxiv. 2026. doi:10.64898/2026.03.05.26347683 14. Greenland S, Morgenstern H. Ecological bias, confounding, and effect modification.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1989;18(1):269-274. doi:10.1093/ije/18.1.269 15. Basagaña X, Ballester J. Unbiased temperature-related mortality estimates using weekly and monthly health data: a new method for environmental epidemiology and climate impact studies. </w:t>
      </w:r>
      <w:r>
        <w:rPr>
          <w:rFonts w:ascii="Times New Roman" w:hAnsi="Times New Roman" w:eastAsia="Times New Roman"/>
          <w:b w:val="0"/>
          <w:i/>
          <w:sz w:val="22"/>
        </w:rPr>
        <w:t>Lancet Planet Health</w:t>
      </w:r>
      <w:r>
        <w:rPr>
          <w:rFonts w:ascii="Times New Roman" w:hAnsi="Times New Roman" w:eastAsia="Times New Roman"/>
          <w:b w:val="0"/>
          <w:i w:val="0"/>
          <w:sz w:val="22"/>
        </w:rPr>
        <w:t xml:space="preserve">. 2024;8(10):e766-e777. doi:10.1016/S2542-5196(24)00212-2 16. Basagaña X, Ballester J. Unbiased estimates using temporally aggregated outcome data in time series analysis: generalization to different outcomes, exposures, and types of aggregation. </w:t>
      </w:r>
      <w:r>
        <w:rPr>
          <w:rFonts w:ascii="Times New Roman" w:hAnsi="Times New Roman" w:eastAsia="Times New Roman"/>
          <w:b w:val="0"/>
          <w:i/>
          <w:sz w:val="22"/>
        </w:rPr>
        <w:t>Epidemiology</w:t>
      </w:r>
      <w:r>
        <w:rPr>
          <w:rFonts w:ascii="Times New Roman" w:hAnsi="Times New Roman" w:eastAsia="Times New Roman"/>
          <w:b w:val="0"/>
          <w:i w:val="0"/>
          <w:sz w:val="22"/>
        </w:rPr>
        <w:t xml:space="preserve">. 2026;37(1):16-20. doi:10.1097/EDE.0000000000001923 17. Guo YT, Chan KH, Qiu H, Wong ELY, Ho KF. The risk of hospitalization associated with hot nights and excess nighttime heat in a subtropical metropolis: a time-series study in Hong Kong, 2000–2019.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2024;51:101168. doi:10.1016/j.lanwpc.2024.101168 18. Yang Z, Wei Y, Jiang X, et al. Association of cold weather and influenza infection with stroke: a 22-year time-series analysis. </w:t>
      </w:r>
      <w:r>
        <w:rPr>
          <w:rFonts w:ascii="Times New Roman" w:hAnsi="Times New Roman" w:eastAsia="Times New Roman"/>
          <w:b w:val="0"/>
          <w:i/>
          <w:sz w:val="22"/>
        </w:rPr>
        <w:t>Int J Biometeorol</w:t>
      </w:r>
      <w:r>
        <w:rPr>
          <w:rFonts w:ascii="Times New Roman" w:hAnsi="Times New Roman" w:eastAsia="Times New Roman"/>
          <w:b w:val="0"/>
          <w:i w:val="0"/>
          <w:sz w:val="22"/>
        </w:rPr>
        <w:t xml:space="preserve">. 2025;69(5):963-973. doi:10.1007/s00484-025-02870-2 19. Newey WK, West KD. A simple, positive semi-definite, heteroskedasticity and autocorrelation consistent covariance matrix. </w:t>
      </w:r>
      <w:r>
        <w:rPr>
          <w:rFonts w:ascii="Times New Roman" w:hAnsi="Times New Roman" w:eastAsia="Times New Roman"/>
          <w:b w:val="0"/>
          <w:i/>
          <w:sz w:val="22"/>
        </w:rPr>
        <w:t>Econometrica</w:t>
      </w:r>
      <w:r>
        <w:rPr>
          <w:rFonts w:ascii="Times New Roman" w:hAnsi="Times New Roman" w:eastAsia="Times New Roman"/>
          <w:b w:val="0"/>
          <w:i w:val="0"/>
          <w:sz w:val="22"/>
        </w:rPr>
        <w:t xml:space="preserve">. 1987;55(3):703-708. doi:10.2307/1913610 20. Benjamini Y, Hochberg Y. Controlling the false discovery rate: a practical and powerful approach to multiple testing. </w:t>
      </w:r>
      <w:r>
        <w:rPr>
          <w:rFonts w:ascii="Times New Roman" w:hAnsi="Times New Roman" w:eastAsia="Times New Roman"/>
          <w:b w:val="0"/>
          <w:i/>
          <w:sz w:val="22"/>
        </w:rPr>
        <w:t>J R Stat Soc Series B</w:t>
      </w:r>
      <w:r>
        <w:rPr>
          <w:rFonts w:ascii="Times New Roman" w:hAnsi="Times New Roman" w:eastAsia="Times New Roman"/>
          <w:b w:val="0"/>
          <w:i w:val="0"/>
          <w:sz w:val="22"/>
        </w:rPr>
        <w:t xml:space="preserve">. 1995;57(1):289-300. doi:10.1111/j.2517-6161.1995.tb02031.x 21. Goggins WB, Chan EYY. A study of the short-term associations between hospital admissions and mortality from heart failure and meteorological variables in Hong Kong.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2017;228:537-542. doi:10.1016/j.ijcard.2016.11.106 22. Chan EYY, Goggins WB, Yue JSK, Lee P. Hospital admissions as a function of temperature, other weather phenomena and pollution levels in an urban setting in China. </w:t>
      </w:r>
      <w:r>
        <w:rPr>
          <w:rFonts w:ascii="Times New Roman" w:hAnsi="Times New Roman" w:eastAsia="Times New Roman"/>
          <w:b w:val="0"/>
          <w:i/>
          <w:sz w:val="22"/>
        </w:rPr>
        <w:t>Bull World Health Organ</w:t>
      </w:r>
      <w:r>
        <w:rPr>
          <w:rFonts w:ascii="Times New Roman" w:hAnsi="Times New Roman" w:eastAsia="Times New Roman"/>
          <w:b w:val="0"/>
          <w:i w:val="0"/>
          <w:sz w:val="22"/>
        </w:rPr>
        <w:t xml:space="preserve">. 2013;91(8):576-584. doi:10.2471/BLT.12.113035 23. Chevance G, Minor K, Vielma C, et al. A systematic review of ambient heat and sleep in a warming climate. </w:t>
      </w:r>
      <w:r>
        <w:rPr>
          <w:rFonts w:ascii="Times New Roman" w:hAnsi="Times New Roman" w:eastAsia="Times New Roman"/>
          <w:b w:val="0"/>
          <w:i/>
          <w:sz w:val="22"/>
        </w:rPr>
        <w:t>Sleep Med Rev</w:t>
      </w:r>
      <w:r>
        <w:rPr>
          <w:rFonts w:ascii="Times New Roman" w:hAnsi="Times New Roman" w:eastAsia="Times New Roman"/>
          <w:b w:val="0"/>
          <w:i w:val="0"/>
          <w:sz w:val="22"/>
        </w:rPr>
        <w:t xml:space="preserve">. 2024;75:101915. doi:10.1016/j.smrv.2024.101915 24. Ioannou LG, Tsoutsoubi L, Mantzios K, et al. Impact of a simulated multiday heatwave on nocturnal physiology, behavior, and sleep: a 10-day confinement study. </w:t>
      </w:r>
      <w:r>
        <w:rPr>
          <w:rFonts w:ascii="Times New Roman" w:hAnsi="Times New Roman" w:eastAsia="Times New Roman"/>
          <w:b w:val="0"/>
          <w:i/>
          <w:sz w:val="22"/>
        </w:rPr>
        <w:t>Appl Physiol Nutr Metab</w:t>
      </w:r>
      <w:r>
        <w:rPr>
          <w:rFonts w:ascii="Times New Roman" w:hAnsi="Times New Roman" w:eastAsia="Times New Roman"/>
          <w:b w:val="0"/>
          <w:i w:val="0"/>
          <w:sz w:val="22"/>
        </w:rPr>
        <w:t xml:space="preserve">. 2024;49:1394-1408. doi:10.1139/apnm-2024-0105 25. O’Connor FK, Bach AJE, Forbes C, et al. Effect of nighttime bedroom temperature on heart rate variability in older adults: an observational study. </w:t>
      </w:r>
      <w:r>
        <w:rPr>
          <w:rFonts w:ascii="Times New Roman" w:hAnsi="Times New Roman" w:eastAsia="Times New Roman"/>
          <w:b w:val="0"/>
          <w:i/>
          <w:sz w:val="22"/>
        </w:rPr>
        <w:t>BMC Med</w:t>
      </w:r>
      <w:r>
        <w:rPr>
          <w:rFonts w:ascii="Times New Roman" w:hAnsi="Times New Roman" w:eastAsia="Times New Roman"/>
          <w:b w:val="0"/>
          <w:i w:val="0"/>
          <w:sz w:val="22"/>
        </w:rPr>
        <w:t xml:space="preserve">. 2025;23:703. doi:10.1186/s12916-025-04513-0 26. Ashe N, Wozniak S, Conner M, et al. Association of extreme heat events with sleep and cardiovascular health: a scoping review. </w:t>
      </w:r>
      <w:r>
        <w:rPr>
          <w:rFonts w:ascii="Times New Roman" w:hAnsi="Times New Roman" w:eastAsia="Times New Roman"/>
          <w:b w:val="0"/>
          <w:i/>
          <w:sz w:val="22"/>
        </w:rPr>
        <w:t>Syst Rev</w:t>
      </w:r>
      <w:r>
        <w:rPr>
          <w:rFonts w:ascii="Times New Roman" w:hAnsi="Times New Roman" w:eastAsia="Times New Roman"/>
          <w:b w:val="0"/>
          <w:i w:val="0"/>
          <w:sz w:val="22"/>
        </w:rPr>
        <w:t xml:space="preserve">. 2025;14:19. doi:10.1186/s13643-024-02742-7 27. Ikäheimo TM. Cardiovascular diseases, cold exposure and exercise. </w:t>
      </w:r>
      <w:r>
        <w:rPr>
          <w:rFonts w:ascii="Times New Roman" w:hAnsi="Times New Roman" w:eastAsia="Times New Roman"/>
          <w:b w:val="0"/>
          <w:i/>
          <w:sz w:val="22"/>
        </w:rPr>
        <w:t>Temperature (Austin)</w:t>
      </w:r>
      <w:r>
        <w:rPr>
          <w:rFonts w:ascii="Times New Roman" w:hAnsi="Times New Roman" w:eastAsia="Times New Roman"/>
          <w:b w:val="0"/>
          <w:i w:val="0"/>
          <w:sz w:val="22"/>
        </w:rPr>
        <w:t xml:space="preserve">. 2018;5(2):123-146. doi:10.1080/23328940.2017.1414014 28. Li Y, Wu J, Xu Y, et al. Cold exposure and the cardiovascular system: from physiological adaptation to pathological risk. </w:t>
      </w:r>
      <w:r>
        <w:rPr>
          <w:rFonts w:ascii="Times New Roman" w:hAnsi="Times New Roman" w:eastAsia="Times New Roman"/>
          <w:b w:val="0"/>
          <w:i/>
          <w:sz w:val="22"/>
        </w:rPr>
        <w:t>Front Physiol</w:t>
      </w:r>
      <w:r>
        <w:rPr>
          <w:rFonts w:ascii="Times New Roman" w:hAnsi="Times New Roman" w:eastAsia="Times New Roman"/>
          <w:b w:val="0"/>
          <w:i w:val="0"/>
          <w:sz w:val="22"/>
        </w:rPr>
        <w:t xml:space="preserve">. 2026;16:1740919. doi:10.3389/fphys.2025.1740919 29. WHO Regional Office for Europe. </w:t>
      </w:r>
      <w:r>
        <w:rPr>
          <w:rFonts w:ascii="Times New Roman" w:hAnsi="Times New Roman" w:eastAsia="Times New Roman"/>
          <w:b w:val="0"/>
          <w:i/>
          <w:sz w:val="22"/>
        </w:rPr>
        <w:t>Heat–health action plans: guidance</w:t>
      </w:r>
      <w:r>
        <w:rPr>
          <w:rFonts w:ascii="Times New Roman" w:hAnsi="Times New Roman" w:eastAsia="Times New Roman"/>
          <w:b w:val="0"/>
          <w:i w:val="0"/>
          <w:sz w:val="22"/>
        </w:rPr>
        <w:t xml:space="preserve">. 2nd ed. Copenhagen: WHO Regional Office for Europe; 2026. ISBN 9789289062930. https://www.who.int/europe/publications/i/item/9789289062930 30. Chong SN, Law HF. Beware of Health Effects of Extremely Hot Weather. Hong Kong Observatory. December 2023. https://www.hko.gov.hk/en/education/weather/hot-and-cold-weather/00706-Beware-of-Health-Effects-of-Extremely-Hot-Weather.html 31. Hong Kong Observatory. Cold and Very Hot Weather Warnings. https://www.hko.gov.hk/en/wservice/warning/coldhot.htm 32. Centre for Health Protection. Beware of Heat Stroke. 11 August 2025. https://www.chp.gov.hk/en/static/90064.html 33. Home Affairs Department. Emergency Relief Services: temporary heat shelters. https://www.had.gov.hk/en/public_services/emergency_services/emergency.htm 34. Xin H, Wu P, Wong JY, et al. Hospitalizations and mortality during the first year of the COVID-19 pandemic in Hong Kong, China: an observational study.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2023;30:100645. doi:10.1016/j.lanwpc.2022.100645 35. Wai AKC, Wong CKH, Wong JYH, et al. Changes in emergency department visits, diagnostic groups, and 28-day mortality associated with the COVID-19 pandemic. </w:t>
      </w:r>
      <w:r>
        <w:rPr>
          <w:rFonts w:ascii="Times New Roman" w:hAnsi="Times New Roman" w:eastAsia="Times New Roman"/>
          <w:b w:val="0"/>
          <w:i/>
          <w:sz w:val="22"/>
        </w:rPr>
        <w:t>Ann Emerg Med</w:t>
      </w:r>
      <w:r>
        <w:rPr>
          <w:rFonts w:ascii="Times New Roman" w:hAnsi="Times New Roman" w:eastAsia="Times New Roman"/>
          <w:b w:val="0"/>
          <w:i w:val="0"/>
          <w:sz w:val="22"/>
        </w:rPr>
        <w:t xml:space="preserve">. 2022;79(2):148-157. doi:10.1016/j.annemergmed.2021.09.424 36. Wai AKC, Yip TF, Wong YH, et al. The effect of the COVID-19 pandemic on non–COVID-19 deaths: a cohort study. </w:t>
      </w:r>
      <w:r>
        <w:rPr>
          <w:rFonts w:ascii="Times New Roman" w:hAnsi="Times New Roman" w:eastAsia="Times New Roman"/>
          <w:b w:val="0"/>
          <w:i/>
          <w:sz w:val="22"/>
        </w:rPr>
        <w:t>JMIR Public Health Surveill</w:t>
      </w:r>
      <w:r>
        <w:rPr>
          <w:rFonts w:ascii="Times New Roman" w:hAnsi="Times New Roman" w:eastAsia="Times New Roman"/>
          <w:b w:val="0"/>
          <w:i w:val="0"/>
          <w:sz w:val="22"/>
        </w:rPr>
        <w:t xml:space="preserve">. 2024;10:e41792. doi:10.2196/41792 37. Hung KK, Walline JH, Chan EYY, et al. Health service utilization in Hong Kong during the COVID-19 pandemic: a cross-sectional public survey. </w:t>
      </w:r>
      <w:r>
        <w:rPr>
          <w:rFonts w:ascii="Times New Roman" w:hAnsi="Times New Roman" w:eastAsia="Times New Roman"/>
          <w:b w:val="0"/>
          <w:i/>
          <w:sz w:val="22"/>
        </w:rPr>
        <w:t>Int J Health Policy Manag</w:t>
      </w:r>
      <w:r>
        <w:rPr>
          <w:rFonts w:ascii="Times New Roman" w:hAnsi="Times New Roman" w:eastAsia="Times New Roman"/>
          <w:b w:val="0"/>
          <w:i w:val="0"/>
          <w:sz w:val="22"/>
        </w:rPr>
        <w:t xml:space="preserve">. 2022;11(4):508-513. doi:10.34172/ijhpm.2020.183 38. Tam CCF, Cheung KS, Lam S, et al. Impact of coronavirus disease 2019 (COVID-19) outbreak on ST-segment–elevation myocardial infarction care in Hong Kong, China. </w:t>
      </w:r>
      <w:r>
        <w:rPr>
          <w:rFonts w:ascii="Times New Roman" w:hAnsi="Times New Roman" w:eastAsia="Times New Roman"/>
          <w:b w:val="0"/>
          <w:i/>
          <w:sz w:val="22"/>
        </w:rPr>
        <w:t>Circ Cardiovasc Qual Outcomes</w:t>
      </w:r>
      <w:r>
        <w:rPr>
          <w:rFonts w:ascii="Times New Roman" w:hAnsi="Times New Roman" w:eastAsia="Times New Roman"/>
          <w:b w:val="0"/>
          <w:i w:val="0"/>
          <w:sz w:val="22"/>
        </w:rPr>
        <w:t xml:space="preserve">. 2020;13(4):e006631. doi:10.1161/CIRCOUTCOMES.120.006631 39. Tam CCF, Cheung KS, Lam S, et al. Impact of coronavirus disease 2019 (COVID-19) outbreak on outcome of myocardial infarction in Hong Kong, China. </w:t>
      </w:r>
      <w:r>
        <w:rPr>
          <w:rFonts w:ascii="Times New Roman" w:hAnsi="Times New Roman" w:eastAsia="Times New Roman"/>
          <w:b w:val="0"/>
          <w:i/>
          <w:sz w:val="22"/>
        </w:rPr>
        <w:t>Catheter Cardiovasc Interv</w:t>
      </w:r>
      <w:r>
        <w:rPr>
          <w:rFonts w:ascii="Times New Roman" w:hAnsi="Times New Roman" w:eastAsia="Times New Roman"/>
          <w:b w:val="0"/>
          <w:i w:val="0"/>
          <w:sz w:val="22"/>
        </w:rPr>
        <w:t xml:space="preserve">. 2021;97(2):E194-E197. doi:10.1002/ccd.28943 40. Cowling BJ, Ali ST, Ng TWY, et al. Impact assessment of non-pharmaceutical interventions against coronavirus disease 2019 and influenza in Hong Kong: an observational study. </w:t>
      </w:r>
      <w:r>
        <w:rPr>
          <w:rFonts w:ascii="Times New Roman" w:hAnsi="Times New Roman" w:eastAsia="Times New Roman"/>
          <w:b w:val="0"/>
          <w:i/>
          <w:sz w:val="22"/>
        </w:rPr>
        <w:t>Lancet Public Health</w:t>
      </w:r>
      <w:r>
        <w:rPr>
          <w:rFonts w:ascii="Times New Roman" w:hAnsi="Times New Roman" w:eastAsia="Times New Roman"/>
          <w:b w:val="0"/>
          <w:i w:val="0"/>
          <w:sz w:val="22"/>
        </w:rPr>
        <w:t xml:space="preserve">. 2020;5(5):e279-e288. doi:10.1016/S2468-2667(20)30090-6 41. Xie Y, Xu E, Bowe B, Al-Aly Z. Long-term cardiovascular outcomes of COVID-19. </w:t>
      </w:r>
      <w:r>
        <w:rPr>
          <w:rFonts w:ascii="Times New Roman" w:hAnsi="Times New Roman" w:eastAsia="Times New Roman"/>
          <w:b w:val="0"/>
          <w:i/>
          <w:sz w:val="22"/>
        </w:rPr>
        <w:t>Nat Med</w:t>
      </w:r>
      <w:r>
        <w:rPr>
          <w:rFonts w:ascii="Times New Roman" w:hAnsi="Times New Roman" w:eastAsia="Times New Roman"/>
          <w:b w:val="0"/>
          <w:i w:val="0"/>
          <w:sz w:val="22"/>
        </w:rPr>
        <w:t xml:space="preserve">. 2022;28:583-590. doi:10.1038/s41591-022-01689-3 42. Wan EYF, Mathur S, Zhang R, et al. Association between BNT162b2 and CoronaVac vaccination and risk of CVD and mortality after COVID-19 infection: a population-based cohort study. </w:t>
      </w:r>
      <w:r>
        <w:rPr>
          <w:rFonts w:ascii="Times New Roman" w:hAnsi="Times New Roman" w:eastAsia="Times New Roman"/>
          <w:b w:val="0"/>
          <w:i/>
          <w:sz w:val="22"/>
        </w:rPr>
        <w:t>Cell Rep Med</w:t>
      </w:r>
      <w:r>
        <w:rPr>
          <w:rFonts w:ascii="Times New Roman" w:hAnsi="Times New Roman" w:eastAsia="Times New Roman"/>
          <w:b w:val="0"/>
          <w:i w:val="0"/>
          <w:sz w:val="22"/>
        </w:rPr>
        <w:t>. 2023;4(10):101195. doi:10.1016/j.xcrm.2023.101195</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10T12:32:41Z">
    <w:p>
      <w:pPr>
        <w:pStyle w:val="CommentText"/>
      </w:pPr>
      <w:r>
        <w:rPr>
          <w:rStyle w:val="CommentReference"/>
        </w:rPr>
        <w:annotationRef/>
      </w:r>
      <w:r>
        <w:t>Author order after the first and last positions remains for Professor Bishai and the team to confirm.</w:t>
      </w:r>
    </w:p>
  </w:comment>
  <w:comment w:id="1" w:author="Bob Shen" w:initials="BS" w:date="2026-09-10T12:32:42Z">
    <w:p>
      <w:pPr>
        <w:pStyle w:val="CommentText"/>
      </w:pPr>
      <w:r>
        <w:rPr>
          <w:rStyle w:val="CommentReference"/>
        </w:rPr>
        <w:annotationRef/>
      </w:r>
      <w:r>
        <w:t>The pre-2020 fit is a nested-window sensitivity. No 2020–2023-only Model 1 or exposure-by-period interaction is reported.</w:t>
      </w:r>
    </w:p>
  </w:comment>
  <w:comment w:id="2" w:author="Bob Shen" w:initials="BS" w:date="2026-09-10T12:32:42Z">
    <w:p>
      <w:pPr>
        <w:pStyle w:val="CommentText"/>
      </w:pPr>
      <w:r>
        <w:rPr>
          <w:rStyle w:val="CommentReference"/>
        </w:rPr>
        <w:annotationRef/>
      </w:r>
      <w:r>
        <w:t>Professor Bishai should replace the IRB placeholder UW XX-XXX with the approved reference before submission.</w:t>
      </w:r>
    </w:p>
  </w:comment>
  <w:comment w:id="3" w:author="Bob Shen" w:initials="BS" w:date="2026-09-10T12:32:42Z">
    <w:p>
      <w:pPr>
        <w:pStyle w:val="CommentText"/>
      </w:pPr>
      <w:r>
        <w:rPr>
          <w:rStyle w:val="CommentReference"/>
        </w:rPr>
        <w:annotationRef/>
      </w:r>
      <w:r>
        <w:t>Roro should confirm the written ICD inclusion list, first-event timing, and inpatient-versus-DAE construction before submission.</w:t>
      </w:r>
    </w:p>
  </w:comment>
  <w:comment w:id="4" w:author="Bob Shen" w:initials="BS" w:date="2026-09-10T12:32:42Z">
    <w:p>
      <w:pPr>
        <w:pStyle w:val="CommentText"/>
      </w:pPr>
      <w:r>
        <w:rPr>
          <w:rStyle w:val="CommentReference"/>
        </w:rPr>
        <w:annotationRef/>
      </w:r>
      <w:r>
        <w:t>Laboratory, infection, vaccination, and serology fields require a new governed extract if Professor Bishai opens that scope.</w:t>
      </w:r>
    </w:p>
  </w:comment>
  <w:comment w:id="5" w:author="Bob Shen" w:initials="BS" w:date="2026-09-10T12:32:42Z">
    <w:p>
      <w:pPr>
        <w:pStyle w:val="CommentText"/>
      </w:pPr>
      <w:r>
        <w:rPr>
          <w:rStyle w:val="CommentReference"/>
        </w:rPr>
        <w:annotationRef/>
      </w:r>
      <w:r>
        <w:t>Hogan's meteorological wording is retained verbatim, including the averaging sentence.</w:t>
      </w:r>
    </w:p>
  </w:comment>
  <w:comment w:id="6" w:author="Bob Shen" w:initials="BS" w:date="2026-09-10T12:32:42Z">
    <w:p>
      <w:pPr>
        <w:pStyle w:val="CommentText"/>
      </w:pPr>
      <w:r>
        <w:rPr>
          <w:rStyle w:val="CommentReference"/>
        </w:rPr>
        <w:annotationRef/>
      </w:r>
      <w:r>
        <w:t>Model 2 and Model 3 are specified; no new coefficients are added because the governed panels are not present here.</w:t>
      </w:r>
    </w:p>
  </w:comment>
  <w:comment w:id="7" w:author="Bob Shen" w:initials="BS" w:date="2026-09-10T12:32:42Z">
    <w:p>
      <w:pPr>
        <w:pStyle w:val="CommentText"/>
      </w:pPr>
      <w:r>
        <w:rPr>
          <w:rStyle w:val="CommentReference"/>
        </w:rPr>
        <w:annotationRef/>
      </w:r>
      <w:r>
        <w:t>The two windows are nested. Interval overlap is not a formal test of coefficient difference.</w:t>
      </w:r>
    </w:p>
  </w:comment>
  <w:comment w:id="8" w:author="Bob Shen" w:initials="BS" w:date="2026-09-10T12:32:42Z">
    <w:p>
      <w:pPr>
        <w:pStyle w:val="CommentText"/>
      </w:pPr>
      <w:r>
        <w:rPr>
          <w:rStyle w:val="CommentReference"/>
        </w:rPr>
        <w:annotationRef/>
      </w:r>
      <w:r>
        <w:t>The pre-2020 window is contained in the full window. These are sensitivity fits, not independent period estimates.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sensitivity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