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ind w:firstLine="0"/>
        <w:jc w:val="center"/>
      </w:pPr>
      <w:r>
        <w:rPr>
          <w:rFonts w:ascii="Times New Roman" w:hAnsi="Times New Roman" w:eastAsia="Times New Roman"/>
          <w:b/>
          <w:i w:val="0"/>
          <w:sz w:val="32"/>
        </w:rPr>
        <w:t>Window dependence of first coronary and heart-failure hospitalisations among people with diabetes or hypertension in Hong Kong, 2013–2023</w:t>
      </w:r>
    </w:p>
    <w:p>
      <w:pPr>
        <w:spacing w:after="160" w:before="0" w:line="240" w:lineRule="auto"/>
        <w:ind w:firstLine="720"/>
        <w:jc w:val="both"/>
      </w:pPr>
      <w:r>
        <w:rPr>
          <w:rFonts w:ascii="Times New Roman" w:hAnsi="Times New Roman" w:eastAsia="Times New Roman"/>
          <w:b w:val="0"/>
          <w:i w:val="0"/>
          <w:sz w:val="24"/>
        </w:rPr>
        <w:t>*Running title:* Window dependence of first CHD/HF hospitalisation</w:t>
      </w:r>
    </w:p>
    <w:p>
      <w:pPr>
        <w:spacing w:after="160" w:before="0" w:line="240" w:lineRule="auto"/>
        <w:ind w:firstLine="0"/>
        <w:jc w:val="center"/>
      </w:pPr>
      <w:r>
        <w:rPr>
          <w:rFonts w:ascii="Times New Roman" w:hAnsi="Times New Roman" w:eastAsia="Times New Roman"/>
          <w:b w:val="0"/>
          <w:i/>
          <w:sz w:val="24"/>
        </w:rPr>
        <w:t>Candidate article. Confirmatory freeze has not been declared. Estimates are the same parked Model 1 and window checks; the thesis is the analysis window, not a new thermal discovery.</w:t>
      </w:r>
    </w:p>
    <w:p>
      <w:pPr>
        <w:spacing w:after="160" w:before="0" w:line="240" w:lineRule="auto"/>
        <w:ind w:firstLine="720"/>
        <w:jc w:val="both"/>
      </w:pPr>
      <w:r>
        <w:rPr>
          <w:rFonts w:ascii="Times New Roman" w:hAnsi="Times New Roman" w:eastAsia="Times New Roman"/>
          <w:b w:val="0"/>
          <w:i w:val="0"/>
          <w:sz w:val="24"/>
        </w:rPr>
        <w:t>Bob Ruililin Shen</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2</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3</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4</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David Makram Bishai</w:t>
      </w:r>
      <w:r>
        <w:rPr>
          <w:rFonts w:ascii="Times New Roman" w:hAnsi="Times New Roman" w:eastAsia="Times New Roman"/>
          <w:b w:val="0"/>
          <w:i w:val="0"/>
          <w:sz w:val="24"/>
          <w:vertAlign w:val="superscript"/>
        </w:rPr>
        <w:t>1</w:t>
      </w:r>
    </w:p>
    <w:p>
      <w:pPr>
        <w:spacing w:after="160" w:before="0" w:line="240" w:lineRule="auto"/>
        <w:ind w:firstLine="720"/>
        <w:jc w:val="both"/>
      </w:pP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School of Public Health, Li Ka Shing Faculty of Medicine, The University of Hong Kong, Hong Kong SAR, China</w:t>
      </w:r>
    </w:p>
    <w:p>
      <w:pPr>
        <w:spacing w:after="120" w:before="240" w:line="240" w:lineRule="auto"/>
        <w:ind w:firstLine="0"/>
        <w:jc w:val="left"/>
      </w:pPr>
      <w:r>
        <w:rPr>
          <w:rFonts w:ascii="Times New Roman" w:hAnsi="Times New Roman" w:eastAsia="Times New Roman"/>
          <w:b/>
          <w:i w:val="0"/>
          <w:sz w:val="28"/>
        </w:rPr>
        <w:t>Abstract</w:t>
      </w:r>
    </w:p>
    <w:p>
      <w:pPr>
        <w:spacing w:after="160" w:before="0" w:line="240" w:lineRule="auto"/>
        <w:ind w:firstLine="0"/>
        <w:jc w:val="both"/>
      </w:pPr>
      <w:r>
        <w:rPr>
          <w:rFonts w:ascii="Times New Roman" w:hAnsi="Times New Roman" w:eastAsia="Times New Roman"/>
          <w:b/>
          <w:i w:val="0"/>
          <w:sz w:val="24"/>
        </w:rPr>
        <w:t>Background.</w:t>
      </w:r>
      <w:r>
        <w:rPr>
          <w:rFonts w:ascii="Times New Roman" w:hAnsi="Times New Roman" w:eastAsia="Times New Roman"/>
          <w:b w:val="0"/>
          <w:i w:val="0"/>
          <w:sz w:val="24"/>
        </w:rPr>
        <w:t xml:space="preserve"> Hong Kong’s 2013–2023 hospital window includes both a decade-long decline in first coronary and heart-failure events and the 2020 shock to care-seeking. Neighbour series report fewer public hospitalisations and more cardiovascular deaths in 2020. Whether official hot nights and cold days can account for the change in first-event counts, or for the change in cold-day count ratios, is a separate question from whether temperature triggers daily admissions.</w:t>
      </w:r>
    </w:p>
    <w:p>
      <w:pPr>
        <w:spacing w:after="160" w:before="0" w:line="240" w:lineRule="auto"/>
        <w:ind w:firstLine="0"/>
        <w:jc w:val="both"/>
      </w:pPr>
      <w:r>
        <w:rPr>
          <w:rFonts w:ascii="Times New Roman" w:hAnsi="Times New Roman" w:eastAsia="Times New Roman"/>
          <w:b/>
          <w:i w:val="0"/>
          <w:sz w:val="24"/>
        </w:rPr>
        <w:t>Methods.</w:t>
      </w:r>
      <w:r>
        <w:rPr>
          <w:rFonts w:ascii="Times New Roman" w:hAnsi="Times New Roman" w:eastAsia="Times New Roman"/>
          <w:b w:val="0"/>
          <w:i w:val="0"/>
          <w:sz w:val="24"/>
        </w:rPr>
        <w:t xml:space="preserve"> We analysed 132 territory-months (January 2013–December 2023) of monthly counts of first hospitalisation after a first diagnosis of coronary heart disease (CHD; 156,156 events) or heart failure (HF; 29,681 events) among people with type 2 diabetes and/or hypertension. Admission cause was not recorded. Model 1 is a separate negative-binomial model for each of three continuous temperature measures and the official counts of hot nights, very hot days, and cold days, with calendar-month indicators, a 4-df time spline, and an offset for the number of days in the month. Official-day exposures use </w:t>
      </w:r>
      <w:r>
        <w:rPr>
          <w:rFonts w:ascii="Times New Roman" w:hAnsi="Times New Roman" w:eastAsia="Times New Roman"/>
          <w:b w:val="0"/>
          <w:i/>
          <w:sz w:val="24"/>
        </w:rPr>
        <w:t>I(\mathrm{count}/5)</w:t>
      </w:r>
      <w:r>
        <w:rPr>
          <w:rFonts w:ascii="Times New Roman" w:hAnsi="Times New Roman" w:eastAsia="Times New Roman"/>
          <w:b w:val="0"/>
          <w:i w:val="0"/>
          <w:sz w:val="24"/>
        </w:rPr>
        <w:t xml:space="preserve"> as a reporting scale. A labelled specification repeats Model 1 on January 2013–December 2019 (84 months). Intervals used model-based, HC1, and Newey–West lag-3 and lag-6 constructions. Benjamini–Hochberg *q*-values covered the twelve Model 1 fits on the full window.</w:t>
      </w:r>
    </w:p>
    <w:p>
      <w:pPr>
        <w:spacing w:after="160" w:before="0" w:line="240" w:lineRule="auto"/>
        <w:ind w:firstLine="0"/>
        <w:jc w:val="both"/>
      </w:pPr>
      <w:r>
        <w:rPr>
          <w:rFonts w:ascii="Times New Roman" w:hAnsi="Times New Roman" w:eastAsia="Times New Roman"/>
          <w:b/>
          <w:i w:val="0"/>
          <w:sz w:val="24"/>
        </w:rPr>
        <w:t>Results.</w:t>
      </w:r>
      <w:r>
        <w:rPr>
          <w:rFonts w:ascii="Times New Roman" w:hAnsi="Times New Roman" w:eastAsia="Times New Roman"/>
          <w:b w:val="0"/>
          <w:i w:val="0"/>
          <w:sz w:val="24"/>
        </w:rPr>
        <w:t xml:space="preserve"> Annual first-event totals about halved from 2013 to 2023 (CHD 23,830 to 12,323; HF 4,336 to 2,296), with a further dip in 2020 (CHD 10,237; HF 1,964), while the Census and Statistics Department population aged 35 years or older rose by 17%. Under Newey–West lag-6 reporting, the HF cold-day count ratio per five days was 1.113 (1.053–1.176) before 2020 and 1.073 (1.006–1.144) in 2013–2023. The CHD cold-day ratio excluded 1 only before 2020 (1.036, 1.007–1.067 versus 0.995, 0.949–1.043). The CHD hot-night ratio was compatible with 1 before 2020 (1.011, 0.991–1.032) and was 1.022 (1.002–1.042) only when 2020–2023 were included. Both full-window headlines have *q* = 0.192; all twelve Model 1 *q*-values exceeded 0.19. Pre-2020 mean temperature was inversely associated with both outcomes (CHD 0.980, 0.970–0.990; HF 0.945, 0.927–0.963) and is not interchangeable with the official-day encodings.</w:t>
      </w:r>
    </w:p>
    <w:p>
      <w:pPr>
        <w:spacing w:after="160" w:before="0" w:line="240" w:lineRule="auto"/>
        <w:ind w:firstLine="0"/>
        <w:jc w:val="both"/>
      </w:pPr>
      <w:r>
        <w:rPr>
          <w:rFonts w:ascii="Times New Roman" w:hAnsi="Times New Roman" w:eastAsia="Times New Roman"/>
          <w:b/>
          <w:i w:val="0"/>
          <w:sz w:val="24"/>
        </w:rPr>
        <w:t>Conclusions.</w:t>
      </w:r>
      <w:r>
        <w:rPr>
          <w:rFonts w:ascii="Times New Roman" w:hAnsi="Times New Roman" w:eastAsia="Times New Roman"/>
          <w:b w:val="0"/>
          <w:i w:val="0"/>
          <w:sz w:val="24"/>
        </w:rPr>
        <w:t xml:space="preserve"> First-event counts and cold-day count ratios in this extract are window-dependent. Official thermal extremes are insufficient to explain that dependence, and they are not irrelevant to it. The decline in first events is not a measure of physiological improvement. Estimates remain ecological monthly count ratios for a first-event outcome without recorded admission cause.</w:t>
      </w:r>
    </w:p>
    <w:p>
      <w:pPr>
        <w:spacing w:after="160" w:before="0" w:line="240" w:lineRule="auto"/>
        <w:ind w:firstLine="0"/>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analysis window; first hospitalisation; coronary heart disease; heart failure; Hong Kong; cold days; hot nights</w:t>
      </w:r>
    </w:p>
    <w:p>
      <w:pPr>
        <w:pageBreakBefore/>
        <w:spacing w:after="120" w:before="0" w:line="240" w:lineRule="auto"/>
        <w:ind w:firstLine="0"/>
        <w:jc w:val="left"/>
      </w:pPr>
      <w:r>
        <w:rPr>
          <w:rFonts w:ascii="Times New Roman" w:hAnsi="Times New Roman" w:eastAsia="Times New Roman"/>
          <w:b/>
          <w:i w:val="0"/>
          <w:sz w:val="28"/>
        </w:rPr>
        <w:t>Introduction</w:t>
      </w:r>
    </w:p>
    <w:p>
      <w:pPr>
        <w:spacing w:after="160" w:before="0" w:line="240" w:lineRule="auto"/>
        <w:ind w:firstLine="720"/>
        <w:jc w:val="both"/>
      </w:pPr>
      <w:r>
        <w:rPr>
          <w:rFonts w:ascii="Times New Roman" w:hAnsi="Times New Roman" w:eastAsia="Times New Roman"/>
          <w:b w:val="0"/>
          <w:i w:val="0"/>
          <w:sz w:val="24"/>
        </w:rPr>
        <w:t>The 2013–2023 window in Hong Kong is not a homogeneous thermal decade. It contains a 2020 collapse in public-hospital use, a later rebound that did not restore the early-decade first-event totals, and a closed diagnosis interval in which people can leave the still-at-risk set. Any monthly count of first coronary or heart-failure hospitalisation in that window therefore mixes weather, care-seeking, and depletion. The question for this paper is whether those objects can be told apart with the extract on file.</w:t>
      </w:r>
    </w:p>
    <w:p>
      <w:pPr>
        <w:spacing w:after="160" w:before="0" w:line="240" w:lineRule="auto"/>
        <w:ind w:firstLine="720"/>
        <w:jc w:val="both"/>
      </w:pPr>
      <w:r>
        <w:rPr>
          <w:rFonts w:ascii="Times New Roman" w:hAnsi="Times New Roman" w:eastAsia="Times New Roman"/>
          <w:b w:val="0"/>
          <w:i w:val="0"/>
          <w:sz w:val="24"/>
        </w:rPr>
        <w:t>Hong Kong neighbours already describe the 2020 care shock in the opposite direction from a healthier heart. Xin et al. reported fewer public hospitalisations in 2020, including cardiovascular admissions, together with additional deaths, particularly cardiovascular deaths and deaths outside public hospitals [34]. Wai et al. found fewer emergency-department visits in January–August 2020 than in the same months of 2019, and higher 28-day mortality among those who did attend [35]. A later Wai et al. cohort of non-COVID deaths likewise paired fewer emergency visits with higher 28-day mortality [36]. Hung et al. documented self-reported avoidance of consultation in a public survey [37]. Tam et al. reported longer delays to ST-elevation myocardial infarction care in Hong Kong in early 2020 [38,39]. Those papers are utilisation and delay series. They are not this diabetes-or-hypertension first-event construction, and their counts are not imported into the tables below.</w:t>
      </w:r>
    </w:p>
    <w:p>
      <w:pPr>
        <w:spacing w:after="160" w:before="0" w:line="240" w:lineRule="auto"/>
        <w:ind w:firstLine="720"/>
        <w:jc w:val="both"/>
      </w:pPr>
      <w:r>
        <w:rPr>
          <w:rFonts w:ascii="Times New Roman" w:hAnsi="Times New Roman" w:eastAsia="Times New Roman"/>
          <w:b w:val="0"/>
          <w:i w:val="0"/>
          <w:sz w:val="24"/>
        </w:rPr>
        <w:t>Local thermal evidence answers a different question. Using 2000–2009 data, Goggins et al. associated a 1 °C decrease below an estimated 24 °C threshold with a 3.7% increase in acute myocardial infarction admissions and found no statistically significant heat association in Hong Kong, Taipei, or Kaohsiung [1]. Closest to the present heart-failure outcome, Goggins and Chan analysed daily public-hospital heart-failure admissions and deaths during 2002–2011 and reported a cumulative relative risk of 2.63 (2.43–2.84) for admissions comparing 11 °C with 25 °C over lags to 23 days [21]. Guo et al. analysed daily unplanned emergency hospitalisations in the hot seasons of 2000–2019: after adjustment for multi-day mean temperature, the official hot-night indicator showed no overall association with non-cancer, non-external hospitalisation over lags 0–4 days, while an hourly nighttime excess-heat metric did [17]. Those studies estimate daily risk for cause-coded or unplanned admissions. Their coefficients do not transfer to monthly counts of first hospitalisation after a first CHD or HF diagnosis, and they do not identify why a 2013–2019 count ratio would differ from a 2013–2023 fit.</w:t>
      </w:r>
    </w:p>
    <w:p>
      <w:pPr>
        <w:spacing w:after="160" w:before="0" w:line="240" w:lineRule="auto"/>
        <w:ind w:firstLine="720"/>
        <w:jc w:val="both"/>
      </w:pPr>
      <w:r>
        <w:rPr>
          <w:rFonts w:ascii="Times New Roman" w:hAnsi="Times New Roman" w:eastAsia="Times New Roman"/>
          <w:b w:val="0"/>
          <w:i w:val="0"/>
          <w:sz w:val="24"/>
        </w:rPr>
        <w:t>The Observatory record for the same years is unambiguous as climatology. Hot nights at Headquarters rose from 10 in 2013 to 61 in 2021 and 56 in 2023 [2,4,6]. Very hot days rose from 17 to 54 over the 2013–2021 comparison and were 54 in 2023 [4,6]. Cold days were 14 in 2013 and 14 in 2023, with 1 in 2019 and 13 in 2021 [2,4,6]. Air pollution also moved: at general monitoring stations, mean nitrogen dioxide declined from 53.7 µg m^−3^ in 2013 to 32.1 µg m^−3^ in 2023, and fine particulate matter (PM2.5) from 30.8 to 14.6 µg m^−3^, while ozone rose from 42.6 to 58.3 µg m^−3^ [7]. Those series describe the window. They do not, by themselves, explain a first-event count ratio.</w:t>
      </w:r>
    </w:p>
    <w:p>
      <w:pPr>
        <w:spacing w:after="160" w:before="0" w:line="240" w:lineRule="auto"/>
        <w:ind w:firstLine="720"/>
        <w:jc w:val="both"/>
      </w:pPr>
      <w:r>
        <w:rPr>
          <w:rFonts w:ascii="Times New Roman" w:hAnsi="Times New Roman" w:eastAsia="Times New Roman"/>
          <w:b w:val="0"/>
          <w:i w:val="0"/>
          <w:sz w:val="24"/>
        </w:rPr>
        <w:t>This study therefore reports two objects from one extract. The first is the path of monthly first-hospitalisation counts after first CHD or HF diagnosis among people with type 2 diabetes and/or hypertension. The second is the Model 1 count ratio for official hot nights, very hot days, and cold days, shown for the full 132 months and for the labelled 84-month specification that stops at December 2019. Official thermal extremes are carried as a ruling-out exhibit: if weather were a sufficient account of the period difference, the official-day ratios would have to be stable across those windows, and continuous temperature would have to tell the same story as official day counts. The twelve full-window Model 1 fits remain in the file so that the exhibit is not a selected pair of rows.</w:t>
      </w:r>
    </w:p>
    <w:p>
      <w:pPr>
        <w:spacing w:after="120" w:before="240" w:line="240" w:lineRule="auto"/>
        <w:ind w:firstLine="0"/>
        <w:jc w:val="left"/>
      </w:pPr>
      <w:r>
        <w:rPr>
          <w:rFonts w:ascii="Times New Roman" w:hAnsi="Times New Roman" w:eastAsia="Times New Roman"/>
          <w:b/>
          <w:i w:val="0"/>
          <w:sz w:val="28"/>
        </w:rPr>
        <w:t>Methods</w:t>
      </w:r>
    </w:p>
    <w:p>
      <w:pPr>
        <w:spacing w:after="160" w:before="0" w:line="240" w:lineRule="auto"/>
        <w:ind w:firstLine="720"/>
        <w:jc w:val="both"/>
      </w:pPr>
      <w:r>
        <w:rPr>
          <w:rFonts w:ascii="Times New Roman" w:hAnsi="Times New Roman" w:eastAsia="Times New Roman"/>
          <w:b w:val="0"/>
          <w:i w:val="0"/>
          <w:sz w:val="24"/>
        </w:rPr>
        <w:t>The study is an ecological territory-month time series for January 2013 through December 2023 (132 months). It cannot show effects for individual people, the cause of any admission, or day-level triggering [14]. In line with ethical requirements, the study was approved by the Institutional Review Board (IRB) of the HKU/Hospital Authority HK West Cluster (IRB reference number: UW XX-XXX).</w:t>
      </w:r>
    </w:p>
    <w:p>
      <w:pPr>
        <w:spacing w:after="120" w:before="160" w:line="240" w:lineRule="auto"/>
        <w:ind w:firstLine="0"/>
        <w:jc w:val="left"/>
      </w:pPr>
      <w:r>
        <w:rPr>
          <w:rFonts w:ascii="Times New Roman" w:hAnsi="Times New Roman" w:eastAsia="Times New Roman"/>
          <w:b/>
          <w:i w:val="0"/>
          <w:sz w:val="24"/>
        </w:rPr>
        <w:t>Data sources</w:t>
      </w:r>
    </w:p>
    <w:p>
      <w:pPr>
        <w:spacing w:after="160" w:before="0" w:line="240" w:lineRule="auto"/>
        <w:ind w:firstLine="720"/>
        <w:jc w:val="both"/>
      </w:pPr>
      <w:r>
        <w:rPr>
          <w:rFonts w:ascii="Times New Roman" w:hAnsi="Times New Roman" w:eastAsia="Times New Roman"/>
          <w:b w:val="0"/>
          <w:i w:val="0"/>
          <w:sz w:val="24"/>
        </w:rPr>
        <w:t>#### Health data</w:t>
      </w:r>
    </w:p>
    <w:p>
      <w:pPr>
        <w:spacing w:after="160" w:before="0" w:line="240" w:lineRule="auto"/>
        <w:ind w:firstLine="720"/>
        <w:jc w:val="both"/>
      </w:pPr>
      <w:r>
        <w:rPr>
          <w:rFonts w:ascii="Times New Roman" w:hAnsi="Times New Roman" w:eastAsia="Times New Roman"/>
          <w:b w:val="0"/>
          <w:i w:val="0"/>
          <w:sz w:val="24"/>
        </w:rPr>
        <w:t>The dependent variable is the monthly count of first hospitalisations after a first diagnosis of coronary heart disease (CHD), and separately of heart failure (HF), among people with type 2 diabetes and/or hypertension in Hong Kong. The cohort is people diagnosed with type 2 diabetes and/or hypertension during 2013–2023. For each person, the event is the first recorded hospitalisation after that person’s first CHD diagnosis or first HF diagnosis. Admission cause was not recorded. Monthly counts were supplied from Hospital Authority records. Age and sex strata were not included. Laboratory measurements were not in the transfer and are not analysed.</w:t>
      </w:r>
    </w:p>
    <w:p>
      <w:pPr>
        <w:spacing w:after="160" w:before="0" w:line="240" w:lineRule="auto"/>
        <w:ind w:firstLine="720"/>
        <w:jc w:val="both"/>
      </w:pPr>
      <w:r>
        <w:rPr>
          <w:rFonts w:ascii="Times New Roman" w:hAnsi="Times New Roman" w:eastAsia="Times New Roman"/>
          <w:b w:val="0"/>
          <w:i w:val="0"/>
          <w:sz w:val="24"/>
        </w:rPr>
        <w:t>Monthly influenza activity from November 2013 through December 2023 was obtained from Centre for Health Protection Flu Express summaries. January–October 2013 had no influenza values. Those months were left missing and were not coded as zero. Influenza was therefore not entered in Model 1; it is a sensitivity on the 121 months with data.</w:t>
      </w:r>
    </w:p>
    <w:p>
      <w:pPr>
        <w:spacing w:after="160" w:before="0" w:line="240" w:lineRule="auto"/>
        <w:ind w:firstLine="720"/>
        <w:jc w:val="both"/>
      </w:pPr>
      <w:r>
        <w:rPr>
          <w:rFonts w:ascii="Times New Roman" w:hAnsi="Times New Roman" w:eastAsia="Times New Roman"/>
          <w:b w:val="0"/>
          <w:i w:val="0"/>
          <w:sz w:val="24"/>
        </w:rPr>
        <w:t>#### Weather and pollutants data</w:t>
      </w:r>
    </w:p>
    <w:p>
      <w:pPr>
        <w:spacing w:after="160" w:before="0" w:line="240" w:lineRule="auto"/>
        <w:ind w:firstLine="720"/>
        <w:jc w:val="both"/>
      </w:pPr>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28°C), the number of very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33°C), the number of extremely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and the number of cold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12°C). Monthly mean pollutant levels for nitrogen dioxide (</w:t>
      </w:r>
      <w:r>
        <w:rPr>
          <w:rFonts w:ascii="Times New Roman" w:hAnsi="Times New Roman" w:eastAsia="Times New Roman"/>
          <w:b w:val="0"/>
          <w:i w:val="0"/>
          <w:sz w:val="24"/>
        </w:rPr>
        <w:t>NO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sulfur dioxide (</w:t>
      </w:r>
      <w:r>
        <w:rPr>
          <w:rFonts w:ascii="Times New Roman" w:hAnsi="Times New Roman" w:eastAsia="Times New Roman"/>
          <w:b w:val="0"/>
          <w:i w:val="0"/>
          <w:sz w:val="24"/>
        </w:rPr>
        <w:t>SO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and ozone (</w:t>
      </w:r>
      <w:r>
        <w:rPr>
          <w:rFonts w:ascii="Times New Roman" w:hAnsi="Times New Roman" w:eastAsia="Times New Roman"/>
          <w:b w:val="0"/>
          <w:i w:val="0"/>
          <w:sz w:val="24"/>
        </w:rPr>
        <w:t>O</w:t>
      </w:r>
      <w:r>
        <w:rPr>
          <w:rFonts w:ascii="Times New Roman" w:hAnsi="Times New Roman" w:eastAsia="Times New Roman"/>
          <w:b w:val="0"/>
          <w:i w:val="0"/>
          <w:sz w:val="24"/>
          <w:vertAlign w:val="subscript"/>
        </w:rPr>
        <w:t>3</w:t>
      </w:r>
      <w:r>
        <w:rPr>
          <w:rFonts w:ascii="Times New Roman" w:hAnsi="Times New Roman" w:eastAsia="Times New Roman"/>
          <w:b w:val="0"/>
          <w:i w:val="0"/>
          <w:sz w:val="24"/>
        </w:rPr>
        <w:t>) were obtained from the Hong Kong Environmental Protection Department (EPD). All monthly data were derived by taking the average of daily data in each calendar month.</w:t>
      </w:r>
    </w:p>
    <w:p>
      <w:pPr>
        <w:spacing w:after="160" w:before="0" w:line="240" w:lineRule="auto"/>
        <w:ind w:firstLine="720"/>
        <w:jc w:val="both"/>
      </w:pPr>
      <w:r>
        <w:rPr>
          <w:rFonts w:ascii="Times New Roman" w:hAnsi="Times New Roman" w:eastAsia="Times New Roman"/>
          <w:b w:val="0"/>
          <w:i w:val="0"/>
          <w:sz w:val="24"/>
        </w:rPr>
        <w:t>A station-month entered a pollutant mean only when at least 75% of expected observations were present. Missing measurements were not coded as zero. Territory-wide monthly pollutant concentrations are unweighted means of general EPD stations. Roadside monitors were not used for those means. Fine particulate matter (</w:t>
      </w:r>
      <w:r>
        <w:rPr>
          <w:rFonts w:ascii="Times New Roman" w:hAnsi="Times New Roman" w:eastAsia="Times New Roman"/>
          <w:b w:val="0"/>
          <w:i w:val="0"/>
          <w:sz w:val="24"/>
        </w:rPr>
        <w:t>PM</w:t>
      </w:r>
      <w:r>
        <w:rPr>
          <w:rFonts w:ascii="Times New Roman" w:hAnsi="Times New Roman" w:eastAsia="Times New Roman"/>
          <w:b w:val="0"/>
          <w:i w:val="0"/>
          <w:sz w:val="24"/>
          <w:vertAlign w:val="subscript"/>
        </w:rPr>
        <w:t>2.5</w:t>
      </w:r>
      <w:r>
        <w:rPr>
          <w:rFonts w:ascii="Times New Roman" w:hAnsi="Times New Roman" w:eastAsia="Times New Roman"/>
          <w:b w:val="0"/>
          <w:i w:val="0"/>
          <w:sz w:val="24"/>
        </w:rPr>
        <w:t>) from the same general stations was assembled for sensitivity analysis only.</w:t>
      </w:r>
    </w:p>
    <w:p>
      <w:pPr>
        <w:spacing w:after="160" w:before="0" w:line="240" w:lineRule="auto"/>
        <w:ind w:firstLine="720"/>
        <w:jc w:val="both"/>
      </w:pPr>
      <w:r>
        <w:rPr>
          <w:rFonts w:ascii="Times New Roman" w:hAnsi="Times New Roman" w:eastAsia="Times New Roman"/>
          <w:b w:val="0"/>
          <w:i w:val="0"/>
          <w:sz w:val="24"/>
        </w:rPr>
        <w:t>#### Population</w:t>
      </w:r>
    </w:p>
    <w:p>
      <w:pPr>
        <w:spacing w:after="160" w:before="0" w:line="240" w:lineRule="auto"/>
        <w:ind w:firstLine="720"/>
        <w:jc w:val="both"/>
      </w:pPr>
      <w:r>
        <w:rPr>
          <w:rFonts w:ascii="Times New Roman" w:hAnsi="Times New Roman" w:eastAsia="Times New Roman"/>
          <w:b w:val="0"/>
          <w:i w:val="0"/>
          <w:sz w:val="24"/>
        </w:rPr>
        <w:t>Mid-year age- and sex-specific population estimates from the Census and Statistics Department (Table 110-01001) were interpolated to month mid-points [8]. Those figures describe the general population, not the diabetes 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spacing w:after="120" w:before="160" w:line="240" w:lineRule="auto"/>
        <w:ind w:firstLine="0"/>
        <w:jc w:val="left"/>
      </w:pPr>
      <w:r>
        <w:rPr>
          <w:rFonts w:ascii="Times New Roman" w:hAnsi="Times New Roman" w:eastAsia="Times New Roman"/>
          <w:b/>
          <w:i w:val="0"/>
          <w:sz w:val="24"/>
        </w:rPr>
        <w:t>Statistical analysis</w:t>
      </w:r>
    </w:p>
    <w:p>
      <w:pPr>
        <w:spacing w:after="160" w:before="0" w:line="240" w:lineRule="auto"/>
        <w:ind w:firstLine="720"/>
        <w:jc w:val="both"/>
      </w:pPr>
      <w:r>
        <w:rPr>
          <w:rFonts w:ascii="Times New Roman" w:hAnsi="Times New Roman" w:eastAsia="Times New Roman"/>
          <w:b w:val="0"/>
          <w:i w:val="0"/>
          <w:sz w:val="24"/>
        </w:rPr>
        <w:t xml:space="preserve">Let </w:t>
      </w:r>
      <w:r>
        <w:rPr>
          <w:rFonts w:ascii="Times New Roman" w:hAnsi="Times New Roman" w:eastAsia="Times New Roman"/>
          <w:b w:val="0"/>
          <w:i/>
          <w:sz w:val="24"/>
        </w:rPr>
        <w:t>Y_t</w:t>
      </w:r>
      <w:r>
        <w:rPr>
          <w:rFonts w:ascii="Times New Roman" w:hAnsi="Times New Roman" w:eastAsia="Times New Roman"/>
          <w:b w:val="0"/>
          <w:i w:val="0"/>
          <w:sz w:val="24"/>
        </w:rPr>
        <w:t xml:space="preserve"> be the hospital count in month </w:t>
      </w:r>
      <w:r>
        <w:rPr>
          <w:rFonts w:ascii="Times New Roman" w:hAnsi="Times New Roman" w:eastAsia="Times New Roman"/>
          <w:b w:val="0"/>
          <w:i/>
          <w:sz w:val="24"/>
        </w:rPr>
        <w:t>t</w:t>
      </w:r>
      <w:r>
        <w:rPr>
          <w:rFonts w:ascii="Times New Roman" w:hAnsi="Times New Roman" w:eastAsia="Times New Roman"/>
          <w:b w:val="0"/>
          <w:i w:val="0"/>
          <w:sz w:val="24"/>
        </w:rPr>
        <w:t>. Model 1 is a negative-binomial regression [10]:</w:t>
      </w:r>
    </w:p>
    <w:p>
      <w:pPr>
        <w:spacing w:after="160" w:before="0" w:line="240" w:lineRule="auto"/>
        <w:ind w:firstLine="0"/>
        <w:jc w:val="center"/>
      </w:pPr>
      <w:r>
        <w:rPr>
          <w:rFonts w:ascii="Times New Roman" w:hAnsi="Times New Roman" w:eastAsia="Times New Roman"/>
          <w:b w:val="0"/>
          <w:i/>
          <w:sz w:val="22"/>
        </w:rPr>
        <w:t xml:space="preserve"> log  E(Y_t) = log (d_t) + \alpha + \beta X_t + sum ^{12} \gamma_m I(month_t = m) + s(t; 4 df). (1) </w:t>
      </w:r>
    </w:p>
    <w:p>
      <w:pPr>
        <w:spacing w:after="160" w:before="0" w:line="240" w:lineRule="auto"/>
        <w:ind w:firstLine="720"/>
        <w:jc w:val="both"/>
      </w:pPr>
      <w:r>
        <w:rPr>
          <w:rFonts w:ascii="Times New Roman" w:hAnsi="Times New Roman" w:eastAsia="Times New Roman"/>
          <w:b w:val="0"/>
          <w:i w:val="0"/>
          <w:sz w:val="24"/>
        </w:rPr>
        <w:t xml:space="preserve">Here </w:t>
      </w:r>
      <w:r>
        <w:rPr>
          <w:rFonts w:ascii="Times New Roman" w:hAnsi="Times New Roman" w:eastAsia="Times New Roman"/>
          <w:b w:val="0"/>
          <w:i/>
          <w:sz w:val="24"/>
        </w:rPr>
        <w:t>d_t</w:t>
      </w:r>
      <w:r>
        <w:rPr>
          <w:rFonts w:ascii="Times New Roman" w:hAnsi="Times New Roman" w:eastAsia="Times New Roman"/>
          <w:b w:val="0"/>
          <w:i w:val="0"/>
          <w:sz w:val="24"/>
        </w:rPr>
        <w:t xml:space="preserve"> is the number of days in month </w:t>
      </w:r>
      <w:r>
        <w:rPr>
          <w:rFonts w:ascii="Times New Roman" w:hAnsi="Times New Roman" w:eastAsia="Times New Roman"/>
          <w:b w:val="0"/>
          <w:i/>
          <w:sz w:val="24"/>
        </w:rPr>
        <w:t>t</w:t>
      </w:r>
      <w:r>
        <w:rPr>
          <w:rFonts w:ascii="Times New Roman" w:hAnsi="Times New Roman" w:eastAsia="Times New Roman"/>
          <w:b w:val="0"/>
          <w:i w:val="0"/>
          <w:sz w:val="24"/>
        </w:rPr>
        <w:t xml:space="preserve">; </w:t>
      </w:r>
      <w:r>
        <w:rPr>
          <w:rFonts w:ascii="Times New Roman" w:hAnsi="Times New Roman" w:eastAsia="Times New Roman"/>
          <w:b w:val="0"/>
          <w:i/>
          <w:sz w:val="24"/>
        </w:rPr>
        <w:t>\alpha</w:t>
      </w:r>
      <w:r>
        <w:rPr>
          <w:rFonts w:ascii="Times New Roman" w:hAnsi="Times New Roman" w:eastAsia="Times New Roman"/>
          <w:b w:val="0"/>
          <w:i w:val="0"/>
          <w:sz w:val="24"/>
        </w:rPr>
        <w:t xml:space="preserve"> is the intercept; </w:t>
      </w:r>
      <w:r>
        <w:rPr>
          <w:rFonts w:ascii="Times New Roman" w:hAnsi="Times New Roman" w:eastAsia="Times New Roman"/>
          <w:b w:val="0"/>
          <w:i/>
          <w:sz w:val="24"/>
        </w:rPr>
        <w:t>X_t</w:t>
      </w:r>
      <w:r>
        <w:rPr>
          <w:rFonts w:ascii="Times New Roman" w:hAnsi="Times New Roman" w:eastAsia="Times New Roman"/>
          <w:b w:val="0"/>
          <w:i w:val="0"/>
          <w:sz w:val="24"/>
        </w:rPr>
        <w:t xml:space="preserve"> is one weather variable; </w:t>
      </w:r>
      <w:r>
        <w:rPr>
          <w:rFonts w:ascii="Times New Roman" w:hAnsi="Times New Roman" w:eastAsia="Times New Roman"/>
          <w:b w:val="0"/>
          <w:i/>
          <w:sz w:val="24"/>
        </w:rPr>
        <w:t>\beta</w:t>
      </w:r>
      <w:r>
        <w:rPr>
          <w:rFonts w:ascii="Times New Roman" w:hAnsi="Times New Roman" w:eastAsia="Times New Roman"/>
          <w:b w:val="0"/>
          <w:i w:val="0"/>
          <w:sz w:val="24"/>
        </w:rPr>
        <w:t xml:space="preserve"> is the coefficient for that weather variable; </w:t>
      </w:r>
      <w:r>
        <w:rPr>
          <w:rFonts w:ascii="Times New Roman" w:hAnsi="Times New Roman" w:eastAsia="Times New Roman"/>
          <w:b w:val="0"/>
          <w:i/>
          <w:sz w:val="24"/>
        </w:rPr>
        <w:t>I(\mathrm{month}_t = m)</w:t>
      </w:r>
      <w:r>
        <w:rPr>
          <w:rFonts w:ascii="Times New Roman" w:hAnsi="Times New Roman" w:eastAsia="Times New Roman"/>
          <w:b w:val="0"/>
          <w:i w:val="0"/>
          <w:sz w:val="24"/>
        </w:rPr>
        <w:t xml:space="preserve"> is 1 if month </w:t>
      </w:r>
      <w:r>
        <w:rPr>
          <w:rFonts w:ascii="Times New Roman" w:hAnsi="Times New Roman" w:eastAsia="Times New Roman"/>
          <w:b w:val="0"/>
          <w:i/>
          <w:sz w:val="24"/>
        </w:rPr>
        <w:t>t</w:t>
      </w:r>
      <w:r>
        <w:rPr>
          <w:rFonts w:ascii="Times New Roman" w:hAnsi="Times New Roman" w:eastAsia="Times New Roman"/>
          <w:b w:val="0"/>
          <w:i w:val="0"/>
          <w:sz w:val="24"/>
        </w:rPr>
        <w:t xml:space="preserve"> is calendar month </w:t>
      </w:r>
      <w:r>
        <w:rPr>
          <w:rFonts w:ascii="Times New Roman" w:hAnsi="Times New Roman" w:eastAsia="Times New Roman"/>
          <w:b w:val="0"/>
          <w:i/>
          <w:sz w:val="24"/>
        </w:rPr>
        <w:t>m</w:t>
      </w:r>
      <w:r>
        <w:rPr>
          <w:rFonts w:ascii="Times New Roman" w:hAnsi="Times New Roman" w:eastAsia="Times New Roman"/>
          <w:b w:val="0"/>
          <w:i w:val="0"/>
          <w:sz w:val="24"/>
        </w:rPr>
        <w:t xml:space="preserve"> and 0 otherwise (January is the reference month); </w:t>
      </w:r>
      <w:r>
        <w:rPr>
          <w:rFonts w:ascii="Times New Roman" w:hAnsi="Times New Roman" w:eastAsia="Times New Roman"/>
          <w:b w:val="0"/>
          <w:i/>
          <w:sz w:val="24"/>
        </w:rPr>
        <w:t>\gamma_m</w:t>
      </w:r>
      <w:r>
        <w:rPr>
          <w:rFonts w:ascii="Times New Roman" w:hAnsi="Times New Roman" w:eastAsia="Times New Roman"/>
          <w:b w:val="0"/>
          <w:i w:val="0"/>
          <w:sz w:val="24"/>
        </w:rPr>
        <w:t xml:space="preserve"> is how much higher or lower month </w:t>
      </w:r>
      <w:r>
        <w:rPr>
          <w:rFonts w:ascii="Times New Roman" w:hAnsi="Times New Roman" w:eastAsia="Times New Roman"/>
          <w:b w:val="0"/>
          <w:i/>
          <w:sz w:val="24"/>
        </w:rPr>
        <w:t>m</w:t>
      </w:r>
      <w:r>
        <w:rPr>
          <w:rFonts w:ascii="Times New Roman" w:hAnsi="Times New Roman" w:eastAsia="Times New Roman"/>
          <w:b w:val="0"/>
          <w:i w:val="0"/>
          <w:sz w:val="24"/>
        </w:rPr>
        <w:t xml:space="preserve"> is than January; and </w:t>
      </w:r>
      <w:r>
        <w:rPr>
          <w:rFonts w:ascii="Times New Roman" w:hAnsi="Times New Roman" w:eastAsia="Times New Roman"/>
          <w:b w:val="0"/>
          <w:i/>
          <w:sz w:val="24"/>
        </w:rPr>
        <w:t>s(t; 4~\mathrm{df})</w:t>
      </w:r>
      <w:r>
        <w:rPr>
          <w:rFonts w:ascii="Times New Roman" w:hAnsi="Times New Roman" w:eastAsia="Times New Roman"/>
          <w:b w:val="0"/>
          <w:i w:val="0"/>
          <w:sz w:val="24"/>
        </w:rPr>
        <w:t xml:space="preserve"> is a smooth curve of time with four degrees of freedom, used to capture slow change over the eleven years. In words, the left side is the log of the expected hospital count. The estimate we report is </w:t>
      </w:r>
      <w:r>
        <w:rPr>
          <w:rFonts w:ascii="Times New Roman" w:hAnsi="Times New Roman" w:eastAsia="Times New Roman"/>
          <w:b w:val="0"/>
          <w:i/>
          <w:sz w:val="24"/>
        </w:rPr>
        <w:t>\mathrm{e}^{\beta}</w:t>
      </w:r>
      <w:r>
        <w:rPr>
          <w:rFonts w:ascii="Times New Roman" w:hAnsi="Times New Roman" w:eastAsia="Times New Roman"/>
          <w:b w:val="0"/>
          <w:i w:val="0"/>
          <w:sz w:val="24"/>
        </w:rPr>
        <w:t>, the ratio of expected monthly counts for a 1 °C change in a temperature variable or a five-day change in an official day count.</w:t>
      </w:r>
    </w:p>
    <w:p>
      <w:pPr>
        <w:spacing w:after="160" w:before="0" w:line="240" w:lineRule="auto"/>
        <w:ind w:firstLine="720"/>
        <w:jc w:val="both"/>
      </w:pPr>
      <w:r>
        <w:rPr>
          <w:rFonts w:ascii="Times New Roman" w:hAnsi="Times New Roman" w:eastAsia="Times New Roman"/>
          <w:b w:val="0"/>
          <w:i w:val="0"/>
          <w:sz w:val="24"/>
        </w:rPr>
        <w:t>We fitted Model 1 twelve times: six weather variables × two diagnoses. The six weather variables are monthly mean temperature, monthly mean daily maximum temperature, monthly mean daily minimum temperature, hot nights, very hot days, and cold days. Extreme-day counts were divided by 5 so that each estimate is the change associated with five extra such days in that month, rather than with one extra day. Five days is a convenient scale, not a new weather threshold and not a consecutive-duration rule. The official count of extremely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was obtained with the other monthly weather variables and was not used as a temperature variable in Model 1. Each Model 1 fit contains one temperature variable. Temperature terms are not entered together in Model 1. We used a negative-binomial model because monthly counts can vary more than a Poisson model permits. A quasi-Poisson model is a sensitivity.</w:t>
      </w:r>
    </w:p>
    <w:p>
      <w:pPr>
        <w:spacing w:after="160" w:before="0" w:line="240" w:lineRule="auto"/>
        <w:ind w:firstLine="720"/>
        <w:jc w:val="both"/>
      </w:pPr>
      <w:r>
        <w:rPr>
          <w:rFonts w:ascii="Times New Roman" w:hAnsi="Times New Roman" w:eastAsia="Times New Roman"/>
          <w:b w:val="0"/>
          <w:i w:val="0"/>
          <w:sz w:val="24"/>
        </w:rPr>
        <w:t>We report 95% confidence intervals in four ways: the model’s own standard errors, HC1, Newey–West with a lag of 3 months, and Newey–West with a lag of 6 months [19]. The main reported interval is Newey–West with lag 6. Monthly hospital counts can be correlated from one month to the next; Newey–West intervals allow for that. A *q*-value is a *p*-value adjusted for testing the twelve Model 1 fits together [20]. Multiplicity-adjusted *q*-values were computed on the full 132-month window only.</w:t>
      </w:r>
    </w:p>
    <w:p>
      <w:pPr>
        <w:spacing w:after="160" w:before="0" w:line="240" w:lineRule="auto"/>
        <w:ind w:firstLine="720"/>
        <w:jc w:val="both"/>
      </w:pPr>
      <w:r>
        <w:rPr>
          <w:rFonts w:ascii="Times New Roman" w:hAnsi="Times New Roman" w:eastAsia="Times New Roman"/>
          <w:b w:val="0"/>
          <w:i w:val="0"/>
          <w:sz w:val="24"/>
        </w:rPr>
        <w:t>The pre-2020 specification repeats equation (1) on January 2013–December 2019 (84 months). It is a labelled window check, not a 48-month post-2020 primary and not a confirmatory re-fit. COVID-period indicators on the full sample (through January 2020; February 2020–December 2021; January–April 2022; May–December 2022; and from January 2023) are a further labelled specification. They do not replace Model 1, and they do not create a post-only table.</w:t>
      </w:r>
    </w:p>
    <w:p>
      <w:pPr>
        <w:spacing w:after="160" w:before="0" w:line="240" w:lineRule="auto"/>
        <w:ind w:firstLine="720"/>
        <w:jc w:val="both"/>
      </w:pPr>
      <w:r>
        <w:rPr>
          <w:rFonts w:ascii="Times New Roman" w:hAnsi="Times New Roman" w:eastAsia="Times New Roman"/>
          <w:b w:val="0"/>
          <w:i w:val="0"/>
          <w:sz w:val="24"/>
        </w:rPr>
        <w:t>Model 2 additionally adds monthly mean relative humidity [21] and monthly total rainfall [22] to Model 1. Model 3 counts, for each month, the days whose daily mean temperature was above or below the historical average for that day of the year. Model 2 and Model 3 are specified and are not reported as headline estimates. No Model 3 health coefficients are reported.</w:t>
      </w:r>
    </w:p>
    <w:p>
      <w:pPr>
        <w:spacing w:after="120" w:before="160" w:line="240" w:lineRule="auto"/>
        <w:ind w:firstLine="0"/>
        <w:jc w:val="left"/>
      </w:pPr>
      <w:r>
        <w:rPr>
          <w:rFonts w:ascii="Times New Roman" w:hAnsi="Times New Roman" w:eastAsia="Times New Roman"/>
          <w:b/>
          <w:i w:val="0"/>
          <w:sz w:val="24"/>
        </w:rPr>
        <w:t>Sensitivity analysis</w:t>
      </w:r>
    </w:p>
    <w:p>
      <w:pPr>
        <w:spacing w:after="160" w:before="0" w:line="240" w:lineRule="auto"/>
        <w:ind w:firstLine="720"/>
        <w:jc w:val="both"/>
      </w:pPr>
      <w:r>
        <w:rPr>
          <w:rFonts w:ascii="Times New Roman" w:hAnsi="Times New Roman" w:eastAsia="Times New Roman"/>
          <w:b w:val="0"/>
          <w:i w:val="0"/>
          <w:sz w:val="24"/>
        </w:rPr>
        <w:t>Official day-count estimates from Model 1 can also be read per 3 days or per 1 day without fitting a new model. If the count ratio per five days is *R*, the count ratio per three days is *R*^(3/5) and the count ratio per one day is *R*^(1/5). Those are the same coefficient on a different scale, not a new model.</w:t>
      </w:r>
    </w:p>
    <w:p>
      <w:pPr>
        <w:spacing w:after="160" w:before="0" w:line="240" w:lineRule="auto"/>
        <w:ind w:firstLine="720"/>
        <w:jc w:val="both"/>
      </w:pPr>
      <w:r>
        <w:rPr>
          <w:rFonts w:ascii="Times New Roman" w:hAnsi="Times New Roman" w:eastAsia="Times New Roman"/>
          <w:b w:val="0"/>
          <w:i w:val="0"/>
          <w:sz w:val="24"/>
        </w:rPr>
        <w:t>Other checks were the time-trend spline (3, 6, or 8 degrees of freedom in place of the Model 1 4-df spline, or year indicators in place of that spline). Those checks change the control for slow calendar time, not the length of a heatwave. Further checks were dropping the first 12 or 24 months; weather one or two months earlier; and dropping the most influential month. Cold-day models restricted to November–March are a labelled sensitivity.</w:t>
      </w:r>
    </w:p>
    <w:p>
      <w:pPr>
        <w:spacing w:after="160" w:before="0" w:line="240" w:lineRule="auto"/>
        <w:ind w:firstLine="720"/>
        <w:jc w:val="both"/>
      </w:pPr>
      <w:r>
        <w:rPr>
          <w:rFonts w:ascii="Times New Roman" w:hAnsi="Times New Roman" w:eastAsia="Times New Roman"/>
          <w:b w:val="0"/>
          <w:i w:val="0"/>
          <w:sz w:val="24"/>
        </w:rPr>
        <w:t>Further checks used general-population × days as the offset (this is still a count ratio, not cohort incidence); maximum and minimum temperature in one model, or the three official extreme-day counts in one model; influenza on the 121 months with data; and nitrogen dioxide or PM2.5. Models that added pollution or influenza are extra checks. They are not replacements for Model 1.</w:t>
      </w:r>
    </w:p>
    <w:p>
      <w:pPr>
        <w:spacing w:after="160" w:before="0" w:line="240" w:lineRule="auto"/>
        <w:ind w:firstLine="720"/>
        <w:jc w:val="both"/>
      </w:pPr>
      <w:r>
        <w:rPr>
          <w:rFonts w:ascii="Times New Roman" w:hAnsi="Times New Roman" w:eastAsia="Times New Roman"/>
          <w:b w:val="0"/>
          <w:i w:val="0"/>
          <w:sz w:val="24"/>
        </w:rPr>
        <w:t>Residual correlation was inspected with Pearson autocorrelation and Ljung–Box tests at lags 6 and 12.</w:t>
      </w:r>
    </w:p>
    <w:p>
      <w:pPr>
        <w:spacing w:after="160" w:before="0" w:line="240" w:lineRule="auto"/>
        <w:ind w:firstLine="720"/>
        <w:jc w:val="both"/>
      </w:pPr>
      <w:r>
        <w:rPr>
          <w:rFonts w:ascii="Times New Roman" w:hAnsi="Times New Roman" w:eastAsia="Times New Roman"/>
          <w:b w:val="0"/>
          <w:i w:val="0"/>
          <w:sz w:val="24"/>
        </w:rPr>
        <w:t>Separately, we tested a published method for estimating daily temperature effects from monthly outcomes using simulated Hong Kong weather [15,16]. We did not apply that method to the hospital counts.</w:t>
      </w:r>
    </w:p>
    <w:p>
      <w:pPr>
        <w:spacing w:after="160" w:before="0" w:line="240" w:lineRule="auto"/>
        <w:ind w:firstLine="720"/>
        <w:jc w:val="both"/>
      </w:pPr>
      <w:r>
        <w:rPr>
          <w:rFonts w:ascii="Times New Roman" w:hAnsi="Times New Roman" w:eastAsia="Times New Roman"/>
          <w:b w:val="0"/>
          <w:i w:val="0"/>
          <w:sz w:val="24"/>
        </w:rPr>
        <w:t>A labelled synthetic exercise on a 132-month count process, not on Hospital Authority rows, asked whether a constant thermal coefficient can look attenuated in a full-window fit when utilisation falls after month 84, when influenza-like co-circulation is zeroed after month 84, or when both occur. Those files are a methods warning. They are not Hong Kong count ratios and are not quoted as estimates.</w:t>
      </w:r>
    </w:p>
    <w:p>
      <w:pPr>
        <w:spacing w:after="120" w:before="160" w:line="240" w:lineRule="auto"/>
        <w:ind w:firstLine="0"/>
        <w:jc w:val="left"/>
      </w:pPr>
      <w:r>
        <w:rPr>
          <w:rFonts w:ascii="Times New Roman" w:hAnsi="Times New Roman" w:eastAsia="Times New Roman"/>
          <w:b/>
          <w:i w:val="0"/>
          <w:sz w:val="24"/>
        </w:rPr>
        <w:t>Software</w:t>
      </w:r>
    </w:p>
    <w:p>
      <w:pPr>
        <w:spacing w:after="160" w:before="0" w:line="240" w:lineRule="auto"/>
        <w:ind w:firstLine="720"/>
        <w:jc w:val="both"/>
      </w:pPr>
      <w:r>
        <w:rPr>
          <w:rFonts w:ascii="Times New Roman" w:hAnsi="Times New Roman" w:eastAsia="Times New Roman"/>
          <w:b w:val="0"/>
          <w:i w:val="0"/>
          <w:sz w:val="24"/>
        </w:rPr>
        <w:t xml:space="preserve">Analyses were conducted in R 4.3.3 (2024-02-29). Negative-binomial models used </w:t>
      </w:r>
      <w:r>
        <w:rPr>
          <w:rFonts w:ascii="Times New Roman" w:hAnsi="Times New Roman" w:eastAsia="Times New Roman"/>
          <w:b w:val="0"/>
          <w:i/>
          <w:sz w:val="24"/>
        </w:rPr>
        <w:t>MASS::glm.nb</w:t>
      </w:r>
      <w:r>
        <w:rPr>
          <w:rFonts w:ascii="Times New Roman" w:hAnsi="Times New Roman" w:eastAsia="Times New Roman"/>
          <w:b w:val="0"/>
          <w:i w:val="0"/>
          <w:sz w:val="24"/>
        </w:rPr>
        <w:t xml:space="preserve"> (MASS 7.3-60.0.1). Newey–West and HC1 standard errors used </w:t>
      </w:r>
      <w:r>
        <w:rPr>
          <w:rFonts w:ascii="Times New Roman" w:hAnsi="Times New Roman" w:eastAsia="Times New Roman"/>
          <w:b w:val="0"/>
          <w:i/>
          <w:sz w:val="24"/>
        </w:rPr>
        <w:t>sandwich</w:t>
      </w:r>
      <w:r>
        <w:rPr>
          <w:rFonts w:ascii="Times New Roman" w:hAnsi="Times New Roman" w:eastAsia="Times New Roman"/>
          <w:b w:val="0"/>
          <w:i w:val="0"/>
          <w:sz w:val="24"/>
        </w:rPr>
        <w:t xml:space="preserve"> 3.1.3. Natural cubic splines used </w:t>
      </w:r>
      <w:r>
        <w:rPr>
          <w:rFonts w:ascii="Times New Roman" w:hAnsi="Times New Roman" w:eastAsia="Times New Roman"/>
          <w:b w:val="0"/>
          <w:i/>
          <w:sz w:val="24"/>
        </w:rPr>
        <w:t>splines::ns</w:t>
      </w:r>
      <w:r>
        <w:rPr>
          <w:rFonts w:ascii="Times New Roman" w:hAnsi="Times New Roman" w:eastAsia="Times New Roman"/>
          <w:b w:val="0"/>
          <w:i w:val="0"/>
          <w:sz w:val="24"/>
        </w:rPr>
        <w:t>.</w:t>
      </w:r>
    </w:p>
    <w:p>
      <w:pPr>
        <w:spacing w:after="120" w:before="240" w:line="240" w:lineRule="auto"/>
        <w:ind w:firstLine="0"/>
        <w:jc w:val="left"/>
      </w:pPr>
      <w:r>
        <w:rPr>
          <w:rFonts w:ascii="Times New Roman" w:hAnsi="Times New Roman" w:eastAsia="Times New Roman"/>
          <w:b/>
          <w:i w:val="0"/>
          <w:sz w:val="28"/>
        </w:rPr>
        <w:t>Results</w:t>
      </w:r>
    </w:p>
    <w:p>
      <w:pPr>
        <w:spacing w:after="120" w:before="160" w:line="240" w:lineRule="auto"/>
        <w:ind w:firstLine="0"/>
        <w:jc w:val="left"/>
      </w:pPr>
      <w:r>
        <w:rPr>
          <w:rFonts w:ascii="Times New Roman" w:hAnsi="Times New Roman" w:eastAsia="Times New Roman"/>
          <w:b/>
          <w:i w:val="0"/>
          <w:sz w:val="24"/>
        </w:rPr>
        <w:t>Outcome series</w:t>
      </w:r>
    </w:p>
    <w:p>
      <w:pPr>
        <w:spacing w:after="160" w:before="0" w:line="240" w:lineRule="auto"/>
        <w:ind w:firstLine="720"/>
        <w:jc w:val="both"/>
      </w:pPr>
      <w:r>
        <w:rPr>
          <w:rFonts w:ascii="Times New Roman" w:hAnsi="Times New Roman" w:eastAsia="Times New Roman"/>
          <w:b w:val="0"/>
          <w:i w:val="0"/>
          <w:sz w:val="24"/>
        </w:rPr>
        <w:t>CHD contributed 156,156 first recorded hospitalisations over 132 months, a mean of 1,183.0 per month. HF contributed 29,681, a mean of 224.9 per month (Table 1). Annual totals fell by about half from 2013 to 2023 (CHD 23,830 to 12,323; HF 4,336 to 2,296), with a further dip in 2020 (CHD 10,237; HF 1,964). Over the same years, the interpolated Census and Statistics Department population aged 35 years or older rose by 17%. Mean monthly first-event counts were 1,315 for CHD and 252 for HF in 2013–2019, against 926 and 173 in 2020–2022. Figure 1 indexes both hospital series and the general-population series to 2013. The decline in first-event counts is compatible with depletion of the at-risk set in a 2013–2023 diagnosis window, together with pandemic changes in care-seeking. It is not a measure of physiological improvement. It does not quantify the share attributable to depletion without monthly still-at-risk person-time. Mean monthly HF counts were highest in January (287) and lowest in September (196). CHD showed a milder winter elevation (January 1,386; September 1,097). After calendar-month indicators, the thermal estimates ask whether a given January or July differs from a typical January or July, and not whether winter counts exceed summer counts.</w:t>
      </w:r>
    </w:p>
    <w:p>
      <w:pPr>
        <w:spacing w:after="160" w:before="0" w:line="240" w:lineRule="auto"/>
        <w:ind w:firstLine="0"/>
        <w:jc w:val="both"/>
      </w:pPr>
      <w:r>
        <w:rPr>
          <w:rFonts w:ascii="Times New Roman" w:hAnsi="Times New Roman" w:eastAsia="Times New Roman"/>
          <w:b w:val="0"/>
          <w:i/>
          <w:sz w:val="22"/>
        </w:rPr>
        <w:t>Table 1. Outcome summary.</w:t>
      </w:r>
    </w:p>
    <w:tbl>
      <w:tblPr>
        <w:tblStyle w:val="TableGrid"/>
        <w:tblLayout w:type="fixed"/>
        <w:tblLook w:firstColumn="1" w:firstRow="1" w:lastColumn="0" w:lastRow="0" w:noHBand="0" w:noVBand="1" w:val="04A0"/>
        <w:tblW w:w="5000" w:type="pct"/>
        <w:tblLayout w:type="fixed"/>
      </w:tblPr>
      <w:tblGrid>
        <w:gridCol w:w="1504"/>
        <w:gridCol w:w="1504"/>
        <w:gridCol w:w="1504"/>
        <w:gridCol w:w="1504"/>
        <w:gridCol w:w="1504"/>
        <w:gridCol w:w="1504"/>
      </w:tblGrid>
      <w:tr>
        <w:trPr>
          <w:cantSplit/>
          <w:tblHeader/>
        </w:trPr>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Period</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Months</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Total events</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Mean per month</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Event construction</w:t>
            </w:r>
          </w:p>
        </w:tc>
      </w:tr>
      <w:tr>
        <w:trPr>
          <w:cantSplit/>
        </w:trPr>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Coronary heart disease</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2013–2023</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132</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156,156</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1,183.0</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First recorded hospitalisation after first CHD diagnosis</w:t>
            </w:r>
          </w:p>
        </w:tc>
      </w:tr>
      <w:tr>
        <w:trPr>
          <w:cantSplit/>
        </w:trPr>
        <w:tc>
          <w:tcPr>
            <w:tcW w:type="dxa" w:w="150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Heart failure</w:t>
            </w:r>
          </w:p>
        </w:tc>
        <w:tc>
          <w:tcPr>
            <w:tcW w:type="dxa" w:w="150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2013–2023</w:t>
            </w:r>
          </w:p>
        </w:tc>
        <w:tc>
          <w:tcPr>
            <w:tcW w:type="dxa" w:w="150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132</w:t>
            </w:r>
          </w:p>
        </w:tc>
        <w:tc>
          <w:tcPr>
            <w:tcW w:type="dxa" w:w="150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29,681</w:t>
            </w:r>
          </w:p>
        </w:tc>
        <w:tc>
          <w:tcPr>
            <w:tcW w:type="dxa" w:w="150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224.9</w:t>
            </w:r>
          </w:p>
        </w:tc>
        <w:tc>
          <w:tcPr>
            <w:tcW w:type="dxa" w:w="150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First recorded hospitalisation after first HF diagnosis</w:t>
            </w:r>
          </w:p>
        </w:tc>
      </w:tr>
    </w:tbl>
    <w:p>
      <w:pPr>
        <w:spacing w:after="120" w:before="0" w:line="240" w:lineRule="auto"/>
        <w:ind w:firstLine="0"/>
        <w:jc w:val="left"/>
      </w:pPr>
    </w:p>
    <w:p>
      <w:pPr>
        <w:spacing w:after="160" w:before="0" w:line="240" w:lineRule="auto"/>
        <w:ind w:firstLine="0"/>
        <w:jc w:val="both"/>
      </w:pPr>
      <w:r>
        <w:rPr>
          <w:rFonts w:ascii="Times New Roman" w:hAnsi="Times New Roman" w:eastAsia="Times New Roman"/>
          <w:b w:val="0"/>
          <w:i/>
          <w:sz w:val="22"/>
        </w:rPr>
        <w:t>Figure 1. First-event counts fell while the general population aged 35 years or older rose. Index = 1 in 2013. CHD 23,830 → 12,323; HF 4,336 → 2,296. Source: governed Hospital Authority aggregate annual totals; Census and Statistics Department mid-year population aged 35 years or older. The figure does not measure consecutive hot or cold spells, and it is not a physiological series.</w:t>
      </w:r>
    </w:p>
    <w:p>
      <w:pPr>
        <w:keepNext/>
        <w:keepLines/>
        <w:spacing w:after="80" w:before="0" w:line="240" w:lineRule="auto"/>
        <w:ind w:firstLine="0"/>
        <w:jc w:val="center"/>
      </w:pPr>
      <w:r>
        <w:drawing>
          <wp:inline xmlns:a="http://schemas.openxmlformats.org/drawingml/2006/main" xmlns:pic="http://schemas.openxmlformats.org/drawingml/2006/picture">
            <wp:extent cx="5669280" cy="5811011"/>
            <wp:docPr id="1" name="Picture 1"/>
            <wp:cNvGraphicFramePr>
              <a:graphicFrameLocks noChangeAspect="1"/>
            </wp:cNvGraphicFramePr>
            <a:graphic>
              <a:graphicData uri="http://schemas.openxmlformats.org/drawingml/2006/picture">
                <pic:pic>
                  <pic:nvPicPr>
                    <pic:cNvPr id="0" name="figure_B_first_event_depletion.png"/>
                    <pic:cNvPicPr/>
                  </pic:nvPicPr>
                  <pic:blipFill>
                    <a:blip r:embed="rId10"/>
                    <a:stretch>
                      <a:fillRect/>
                    </a:stretch>
                  </pic:blipFill>
                  <pic:spPr>
                    <a:xfrm>
                      <a:off x="0" y="0"/>
                      <a:ext cx="5669280" cy="5811011"/>
                    </a:xfrm>
                    <a:prstGeom prst="rect"/>
                  </pic:spPr>
                </pic:pic>
              </a:graphicData>
            </a:graphic>
          </wp:inline>
        </w:drawing>
      </w:r>
    </w:p>
    <w:p>
      <w:pPr>
        <w:spacing w:after="120" w:before="160" w:line="240" w:lineRule="auto"/>
        <w:ind w:firstLine="0"/>
        <w:jc w:val="left"/>
      </w:pPr>
      <w:r>
        <w:rPr>
          <w:rFonts w:ascii="Times New Roman" w:hAnsi="Times New Roman" w:eastAsia="Times New Roman"/>
          <w:b/>
          <w:i w:val="0"/>
          <w:sz w:val="24"/>
        </w:rPr>
        <w:t>Exposure context</w:t>
      </w:r>
    </w:p>
    <w:p>
      <w:pPr>
        <w:spacing w:after="160" w:before="0" w:line="240" w:lineRule="auto"/>
        <w:ind w:firstLine="720"/>
        <w:jc w:val="both"/>
      </w:pPr>
      <w:r>
        <w:rPr>
          <w:rFonts w:ascii="Times New Roman" w:hAnsi="Times New Roman" w:eastAsia="Times New Roman"/>
          <w:b w:val="0"/>
          <w:i w:val="0"/>
          <w:sz w:val="24"/>
        </w:rPr>
        <w:t>At HKO Headquarters, hot nights rose from 10 in 2013 to 61 in 2021 and 56 in 2023 [6]. The 2013 count was about seven days below the 1981–2010 normal [2]. The 2021 count was the highest annual number of hot nights in the Observatory record at that time [4]. Very hot days rose from 17 to 54 over the same 2013–2021 comparison, and were 54 in 2023 [6]. Cold days were 14 in 2013 and 14 in 2023, with 1 in 2019 and 13 in 2021 [6]. These are exposure counts, and not health effects. Mean official hot nights were 2.7 per month in 2013–2019 and 4.5 per month in 2020–2022. Figure 2 shows official cold days by year and month. Of 145 cold days in 2013–2023, 141 fell in December–February (December 40, January 54, February 47), and 4 fell in March. Twenty-nine of 132 months carried at least one official cold day. The year 2019 contributed a single cold day. After calendar-month indicators, the remaining cold-day variation is between-year winter variation, and not a summer-versus-winter contrast.</w:t>
      </w:r>
    </w:p>
    <w:p>
      <w:pPr>
        <w:spacing w:after="160" w:before="0" w:line="240" w:lineRule="auto"/>
        <w:ind w:firstLine="0"/>
        <w:jc w:val="both"/>
      </w:pPr>
      <w:r>
        <w:rPr>
          <w:rFonts w:ascii="Times New Roman" w:hAnsi="Times New Roman" w:eastAsia="Times New Roman"/>
          <w:b w:val="0"/>
          <w:i/>
          <w:sz w:val="22"/>
        </w:rPr>
        <w:t>Figure 2. Official cold days by year and month, Hong Kong Observatory Headquarters, 2013–2023. Source: Hong Kong Observatory official daily cold-day flags (</w:t>
      </w:r>
      <w:r>
        <w:rPr>
          <w:rFonts w:ascii="Times New Roman" w:hAnsi="Times New Roman" w:eastAsia="Times New Roman"/>
          <w:b w:val="0"/>
          <w:i/>
          <w:sz w:val="22"/>
        </w:rPr>
        <w:t>T</w:t>
      </w:r>
      <w:r>
        <w:rPr>
          <w:rFonts w:ascii="Times New Roman" w:hAnsi="Times New Roman" w:eastAsia="Times New Roman"/>
          <w:b w:val="0"/>
          <w:i/>
          <w:sz w:val="22"/>
          <w:vertAlign w:val="subscript"/>
        </w:rPr>
        <w:t>min</w:t>
      </w:r>
      <w:r>
        <w:rPr>
          <w:rFonts w:ascii="Times New Roman" w:hAnsi="Times New Roman" w:eastAsia="Times New Roman"/>
          <w:b w:val="0"/>
          <w:i/>
          <w:sz w:val="22"/>
        </w:rPr>
        <w:t xml:space="preserve"> ≤ 12 °C), aggregated to calendar months. Identification is between winters, not a consecutive-duration spell, and not a physiological mechanism.</w:t>
      </w:r>
    </w:p>
    <w:p>
      <w:pPr>
        <w:keepNext/>
        <w:keepLines/>
        <w:spacing w:after="80" w:before="0" w:line="240" w:lineRule="auto"/>
        <w:ind w:firstLine="0"/>
        <w:jc w:val="center"/>
      </w:pPr>
      <w:r>
        <w:drawing>
          <wp:inline xmlns:a="http://schemas.openxmlformats.org/drawingml/2006/main" xmlns:pic="http://schemas.openxmlformats.org/drawingml/2006/picture">
            <wp:extent cx="5669280" cy="4110228"/>
            <wp:docPr id="2" name="Picture 2"/>
            <wp:cNvGraphicFramePr>
              <a:graphicFrameLocks noChangeAspect="1"/>
            </wp:cNvGraphicFramePr>
            <a:graphic>
              <a:graphicData uri="http://schemas.openxmlformats.org/drawingml/2006/picture">
                <pic:pic>
                  <pic:nvPicPr>
                    <pic:cNvPr id="0" name="figure_A_cold_day_identification.png"/>
                    <pic:cNvPicPr/>
                  </pic:nvPicPr>
                  <pic:blipFill>
                    <a:blip r:embed="rId11"/>
                    <a:stretch>
                      <a:fillRect/>
                    </a:stretch>
                  </pic:blipFill>
                  <pic:spPr>
                    <a:xfrm>
                      <a:off x="0" y="0"/>
                      <a:ext cx="5669280" cy="4110228"/>
                    </a:xfrm>
                    <a:prstGeom prst="rect"/>
                  </pic:spPr>
                </pic:pic>
              </a:graphicData>
            </a:graphic>
          </wp:inline>
        </w:drawing>
      </w:r>
    </w:p>
    <w:p>
      <w:pPr>
        <w:spacing w:after="120" w:before="160" w:line="240" w:lineRule="auto"/>
        <w:ind w:firstLine="0"/>
        <w:jc w:val="left"/>
      </w:pPr>
      <w:r>
        <w:rPr>
          <w:rFonts w:ascii="Times New Roman" w:hAnsi="Times New Roman" w:eastAsia="Times New Roman"/>
          <w:b/>
          <w:i w:val="0"/>
          <w:sz w:val="24"/>
        </w:rPr>
        <w:t>Period-split official-day panel</w:t>
      </w:r>
    </w:p>
    <w:p>
      <w:pPr>
        <w:spacing w:after="160" w:before="0" w:line="240" w:lineRule="auto"/>
        <w:ind w:firstLine="720"/>
        <w:jc w:val="both"/>
      </w:pPr>
      <w:r>
        <w:rPr>
          <w:rFonts w:ascii="Times New Roman" w:hAnsi="Times New Roman" w:eastAsia="Times New Roman"/>
          <w:b w:val="0"/>
          <w:i w:val="0"/>
          <w:sz w:val="24"/>
        </w:rPr>
        <w:t>Table 2 reports the official-day Model 1 count ratios, per five additional such days in the month, for the full 132 months and for the labelled 84-month specification. Figure 3 is the main identification display for this article, including trend-spline and COVID-phase rows.</w:t>
      </w:r>
    </w:p>
    <w:p>
      <w:pPr>
        <w:spacing w:after="160" w:before="0" w:line="240" w:lineRule="auto"/>
        <w:ind w:firstLine="720"/>
        <w:jc w:val="both"/>
      </w:pPr>
      <w:r>
        <w:rPr>
          <w:rFonts w:ascii="Times New Roman" w:hAnsi="Times New Roman" w:eastAsia="Times New Roman"/>
          <w:b w:val="0"/>
          <w:i w:val="0"/>
          <w:sz w:val="24"/>
        </w:rPr>
        <w:t>The HF cold-day ratio was 1.113 (1.053–1.176) before 2020 and 1.073 (1.006–1.144) over 2013–2023. Both intervals exclude 1 under Newey–West lag-6 reporting. The full-window estimate has *q* = 0.192. The CHD cold-day ratio excluded 1 only before 2020 (1.036, 1.007–1.067). In the full window it was 0.995 (0.949–1.043). The CHD hot-night ratio was 1.011 (0.991–1.032) before 2020, an interval that includes 1, and 1.022 (1.002–1.042) when 2020–2023 were included (*q* = 0.192). COVID-phase indicators on the full sample moved the CHD hot-night ratio to 1.013 (0.994–1.033) and left the HF cold-day ratio at 1.074 (1.006–1.145). There is no 48-month post-2020 Model 1 table. Attenuation of a cold-day count ratio toward 1, or a hot-night ratio that appears only when the later years are included, is a change in a monthly count model. It is not a measure of physiological improvement.</w:t>
      </w:r>
    </w:p>
    <w:p>
      <w:pPr>
        <w:spacing w:after="160" w:before="0" w:line="240" w:lineRule="auto"/>
        <w:ind w:firstLine="0"/>
        <w:jc w:val="both"/>
      </w:pPr>
      <w:r>
        <w:rPr>
          <w:rFonts w:ascii="Times New Roman" w:hAnsi="Times New Roman" w:eastAsia="Times New Roman"/>
          <w:b w:val="0"/>
          <w:i/>
          <w:sz w:val="22"/>
        </w:rPr>
        <w:t>Table 2. Official-day count ratios in the full window and in January 2013–December 2019 (Newey–West lag-6). Each estimate is the Model 1 count ratio per five additional official days in the month. Pre-2020 is a labelled specification (84 months). Benjamini–Hochberg *q*-values apply to the twelve full-window Model 1 fits only.</w:t>
      </w:r>
    </w:p>
    <w:tbl>
      <w:tblPr>
        <w:tblStyle w:val="TableGrid"/>
        <w:tblLayout w:type="fixed"/>
        <w:tblLook w:firstColumn="1" w:firstRow="1" w:lastColumn="0" w:lastRow="0" w:noHBand="0" w:noVBand="1" w:val="04A0"/>
        <w:tblW w:w="5000" w:type="pct"/>
        <w:tblLayout w:type="fixed"/>
      </w:tblPr>
      <w:tblGrid>
        <w:gridCol w:w="2256"/>
        <w:gridCol w:w="2256"/>
        <w:gridCol w:w="2256"/>
        <w:gridCol w:w="2256"/>
      </w:tblGrid>
      <w:tr>
        <w:trPr>
          <w:cantSplit/>
          <w:tblHeader/>
        </w:trPr>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Exposure contrast</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2013–2023 (132 months)</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Pre-2020 (84 months)</w:t>
            </w:r>
          </w:p>
        </w:tc>
      </w:tr>
      <w:tr>
        <w:trPr>
          <w:cantSplit/>
        </w:trPr>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(1.002–1.042), q = 0.192</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1.011 (0.991–1.032)</w:t>
            </w:r>
          </w:p>
        </w:tc>
      </w:tr>
      <w:tr>
        <w:trPr>
          <w:cantSplit/>
        </w:trPr>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0.999 (0.974–1.025)</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0.997 (0.982–1.012)</w:t>
            </w:r>
          </w:p>
        </w:tc>
      </w:tr>
      <w:tr>
        <w:trPr>
          <w:cantSplit/>
        </w:trPr>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1.036 (1.007–1.067)</w:t>
            </w:r>
          </w:p>
        </w:tc>
      </w:tr>
      <w:tr>
        <w:trPr>
          <w:cantSplit/>
        </w:trPr>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0.965 (0.937–0.994)</w:t>
            </w:r>
          </w:p>
        </w:tc>
      </w:tr>
      <w:tr>
        <w:trPr>
          <w:cantSplit/>
        </w:trPr>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0.995 (0.963–1.028)</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0.990 (0.960–1.021)</w:t>
            </w:r>
          </w:p>
        </w:tc>
      </w:tr>
      <w:tr>
        <w:trPr>
          <w:cantSplit/>
        </w:trPr>
        <w:tc>
          <w:tcPr>
            <w:tcW w:type="dxa" w:w="2256"/>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HF</w:t>
            </w:r>
          </w:p>
        </w:tc>
        <w:tc>
          <w:tcPr>
            <w:tcW w:type="dxa" w:w="2256"/>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Cold days / 5 days</w:t>
            </w:r>
          </w:p>
        </w:tc>
        <w:tc>
          <w:tcPr>
            <w:tcW w:type="dxa" w:w="2256"/>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(1.006–1.144), q = 0.192</w:t>
            </w:r>
          </w:p>
        </w:tc>
        <w:tc>
          <w:tcPr>
            <w:tcW w:type="dxa" w:w="2256"/>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1.113 (1.053–1.176)</w:t>
            </w:r>
          </w:p>
        </w:tc>
      </w:tr>
    </w:tbl>
    <w:p>
      <w:pPr>
        <w:spacing w:after="120" w:before="0" w:line="240" w:lineRule="auto"/>
        <w:ind w:firstLine="0"/>
        <w:jc w:val="left"/>
      </w:pPr>
    </w:p>
    <w:p>
      <w:pPr>
        <w:spacing w:after="160" w:before="0" w:line="240" w:lineRule="auto"/>
        <w:ind w:firstLine="0"/>
        <w:jc w:val="both"/>
      </w:pPr>
      <w:r>
        <w:rPr>
          <w:rFonts w:ascii="Times New Roman" w:hAnsi="Times New Roman" w:eastAsia="Times New Roman"/>
          <w:b w:val="0"/>
          <w:i/>
          <w:sz w:val="22"/>
        </w:rPr>
        <w:t>Figure 3. Model 1 count ratios for official day counts across time-trend, window, and COVID-period specifications (Newey–West lag-6 intervals). The exposure is the monthly official day count divided by five, so each estimate is the count ratio per five additional such days in that month. Rows labelled 3, 6, or 8 df replace the 4-df time-trend spline of Model 1. Neither the five-day scale nor the spline degrees of freedom refers to consecutive days. Pre-2020 is January 2013–December 2019 (84 months). Continuous-temperature fits for the same specifications are a supplement, not a physiology panel.</w:t>
      </w:r>
    </w:p>
    <w:p>
      <w:pPr>
        <w:keepNext/>
        <w:keepLines/>
        <w:spacing w:after="80" w:before="0" w:line="240" w:lineRule="auto"/>
        <w:ind w:firstLine="0"/>
        <w:jc w:val="center"/>
      </w:pPr>
      <w:r>
        <w:drawing>
          <wp:inline xmlns:a="http://schemas.openxmlformats.org/drawingml/2006/main" xmlns:pic="http://schemas.openxmlformats.org/drawingml/2006/picture">
            <wp:extent cx="5669280" cy="6720840"/>
            <wp:docPr id="3" name="Picture 3"/>
            <wp:cNvGraphicFramePr>
              <a:graphicFrameLocks noChangeAspect="1"/>
            </wp:cNvGraphicFramePr>
            <a:graphic>
              <a:graphicData uri="http://schemas.openxmlformats.org/drawingml/2006/picture">
                <pic:pic>
                  <pic:nvPicPr>
                    <pic:cNvPr id="0" name="figure_D_trend_depletion_sensitivity.png"/>
                    <pic:cNvPicPr/>
                  </pic:nvPicPr>
                  <pic:blipFill>
                    <a:blip r:embed="rId12"/>
                    <a:stretch>
                      <a:fillRect/>
                    </a:stretch>
                  </pic:blipFill>
                  <pic:spPr>
                    <a:xfrm>
                      <a:off x="0" y="0"/>
                      <a:ext cx="5669280" cy="6720840"/>
                    </a:xfrm>
                    <a:prstGeom prst="rect"/>
                  </pic:spPr>
                </pic:pic>
              </a:graphicData>
            </a:graphic>
          </wp:inline>
        </w:drawing>
      </w:r>
    </w:p>
    <w:p>
      <w:pPr>
        <w:spacing w:after="120" w:before="160" w:line="240" w:lineRule="auto"/>
        <w:ind w:firstLine="0"/>
        <w:jc w:val="left"/>
      </w:pPr>
      <w:r>
        <w:rPr>
          <w:rFonts w:ascii="Times New Roman" w:hAnsi="Times New Roman" w:eastAsia="Times New Roman"/>
          <w:b/>
          <w:i w:val="0"/>
          <w:sz w:val="24"/>
        </w:rPr>
        <w:t>Twelve-fit thermal exhibit</w:t>
      </w:r>
    </w:p>
    <w:p>
      <w:pPr>
        <w:spacing w:after="160" w:before="0" w:line="240" w:lineRule="auto"/>
        <w:ind w:firstLine="720"/>
        <w:jc w:val="both"/>
      </w:pPr>
      <w:r>
        <w:rPr>
          <w:rFonts w:ascii="Times New Roman" w:hAnsi="Times New Roman" w:eastAsia="Times New Roman"/>
          <w:b w:val="0"/>
          <w:i w:val="0"/>
          <w:sz w:val="24"/>
        </w:rPr>
        <w:t>Table 3 reports the twelve separate-exposure count ratios under the offset for the number of days in the month and Newey–West lag-6 intervals. It is the thermal exhibit, not the headline of this article.</w:t>
      </w:r>
    </w:p>
    <w:p>
      <w:pPr>
        <w:spacing w:after="160" w:before="0" w:line="240" w:lineRule="auto"/>
        <w:ind w:firstLine="0"/>
        <w:jc w:val="both"/>
      </w:pPr>
      <w:r>
        <w:rPr>
          <w:rFonts w:ascii="Times New Roman" w:hAnsi="Times New Roman" w:eastAsia="Times New Roman"/>
          <w:b w:val="0"/>
          <w:i/>
          <w:sz w:val="22"/>
        </w:rPr>
        <w:t>Table 3. Model 1: negative-binomial models with an offset for the number of days in the month and Newey–West lag-6 intervals.</w:t>
      </w:r>
    </w:p>
    <w:tbl>
      <w:tblPr>
        <w:tblStyle w:val="TableGrid"/>
        <w:tblLayout w:type="fixed"/>
        <w:tblLook w:firstColumn="1" w:firstRow="1" w:lastColumn="0" w:lastRow="0" w:noHBand="0" w:noVBand="1" w:val="04A0"/>
        <w:tblW w:w="5000" w:type="pct"/>
        <w:tblLayout w:type="fixed"/>
      </w:tblPr>
      <w:tblGrid>
        <w:gridCol w:w="1805"/>
        <w:gridCol w:w="1805"/>
        <w:gridCol w:w="1805"/>
        <w:gridCol w:w="1805"/>
        <w:gridCol w:w="1805"/>
      </w:tblGrid>
      <w:tr>
        <w:trPr>
          <w:cantSplit/>
          <w:tblHeader/>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Exposure contrast</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Count ratio (95% CI)</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p</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BH q</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0.993 (0.976–1.010)</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0.424</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0.726</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maximum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0.993 (0.979–1.007)</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0.321</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0.642</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minimum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0.994 (0.977–1.012)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0.509</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0.764</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0.032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0.192</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0.823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0.900</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0.999 (0.974–1.025)</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0.962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0.962</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0.974 (0.947–1.002)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0.069</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0.207</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maximum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0.981 (0.958–1.005)</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0.113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0.272</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minimum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0.973 (0.947–1.000)</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0.050</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0.202</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0.825</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0.900</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1.073 (1.006–1.144)</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0.031</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0.192</w:t>
            </w:r>
          </w:p>
        </w:tc>
      </w:tr>
      <w:tr>
        <w:trPr>
          <w:cantSplit/>
        </w:trPr>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0.995 (0.963–1.028)</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0.764</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0.900</w:t>
            </w:r>
          </w:p>
        </w:tc>
      </w:tr>
    </w:tbl>
    <w:p>
      <w:pPr>
        <w:spacing w:after="120" w:before="0" w:line="240" w:lineRule="auto"/>
        <w:ind w:firstLine="0"/>
        <w:jc w:val="left"/>
      </w:pPr>
    </w:p>
    <w:p>
      <w:pPr>
        <w:spacing w:after="160" w:before="0" w:line="240" w:lineRule="auto"/>
        <w:ind w:firstLine="720"/>
        <w:jc w:val="both"/>
      </w:pPr>
      <w:r>
        <w:rPr>
          <w:rFonts w:ascii="Times New Roman" w:hAnsi="Times New Roman" w:eastAsia="Times New Roman"/>
          <w:b w:val="0"/>
          <w:i w:val="0"/>
          <w:sz w:val="24"/>
        </w:rPr>
        <w:t>All twelve *q*-values exceeded 0.19, with a minimum of 0.192. No model meets a multiplicity-protected confirmatory threshold. The HF mean-minimum-temperature interval narrowly included 1, with an unrounded upper bound of 1.00005. For CHD, the continuous monthly temperature estimates were near null, between 0.993 and 0.994, whereas the official hot-night count estimate was larger under Newey–West lag-6 reporting. These encodings describe different monthly thermal questions. The contrast does not imply that a hot-night effect was missed by the means, and it is not a test of hourly nighttime excess heat [17]. For HF, the continuous temperature estimates were weakly inverse, and the cold-day count estimate was positive.</w:t>
      </w:r>
    </w:p>
    <w:p>
      <w:pPr>
        <w:spacing w:after="120" w:before="160" w:line="240" w:lineRule="auto"/>
        <w:ind w:firstLine="0"/>
        <w:jc w:val="left"/>
      </w:pPr>
      <w:r>
        <w:rPr>
          <w:rFonts w:ascii="Times New Roman" w:hAnsi="Times New Roman" w:eastAsia="Times New Roman"/>
          <w:b/>
          <w:i w:val="0"/>
          <w:sz w:val="24"/>
        </w:rPr>
        <w:t>Uncertainty ladder</w:t>
      </w:r>
    </w:p>
    <w:p>
      <w:pPr>
        <w:spacing w:after="160" w:before="0" w:line="240" w:lineRule="auto"/>
        <w:ind w:firstLine="0"/>
        <w:jc w:val="both"/>
      </w:pPr>
      <w:r>
        <w:rPr>
          <w:rFonts w:ascii="Times New Roman" w:hAnsi="Times New Roman" w:eastAsia="Times New Roman"/>
          <w:b w:val="0"/>
          <w:i/>
          <w:sz w:val="22"/>
        </w:rPr>
        <w:t>Table 4. Uncertainty ladder for the two leading exploratory contrasts.</w:t>
      </w:r>
    </w:p>
    <w:tbl>
      <w:tblPr>
        <w:tblStyle w:val="TableGrid"/>
        <w:tblLayout w:type="fixed"/>
        <w:tblLook w:firstColumn="1" w:firstRow="1" w:lastColumn="0" w:lastRow="0" w:noHBand="0" w:noVBand="1" w:val="04A0"/>
        <w:tblW w:w="5000" w:type="pct"/>
        <w:tblLayout w:type="fixed"/>
      </w:tblPr>
      <w:tblGrid>
        <w:gridCol w:w="1805"/>
        <w:gridCol w:w="1805"/>
        <w:gridCol w:w="1805"/>
        <w:gridCol w:w="1805"/>
        <w:gridCol w:w="1805"/>
      </w:tblGrid>
      <w:tr>
        <w:trPr>
          <w:cantSplit/>
          <w:tblHeader/>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 and exposure</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Model</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HC1</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NW6</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 hot nights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(0.995–1.049)</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(0.997–1.047)</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(1.0003–1.0439)</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r>
      <w:tr>
        <w:trPr>
          <w:cantSplit/>
        </w:trPr>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HF cold days / 5 days</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(1.023–1.125)</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(1.011–1.138)</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(1.007–1.143)</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(1.006–1.144)</w:t>
            </w:r>
          </w:p>
        </w:tc>
      </w:tr>
    </w:tbl>
    <w:p>
      <w:pPr>
        <w:spacing w:after="120" w:before="0" w:line="240" w:lineRule="auto"/>
        <w:ind w:firstLine="0"/>
        <w:jc w:val="left"/>
      </w:pPr>
    </w:p>
    <w:p>
      <w:pPr>
        <w:spacing w:after="160" w:before="0" w:line="240" w:lineRule="auto"/>
        <w:ind w:firstLine="720"/>
        <w:jc w:val="both"/>
      </w:pPr>
      <w:r>
        <w:rPr>
          <w:rFonts w:ascii="Times New Roman" w:hAnsi="Times New Roman" w:eastAsia="Times New Roman"/>
          <w:b w:val="0"/>
          <w:i w:val="0"/>
          <w:sz w:val="24"/>
        </w:rPr>
        <w:t>For CHD hot nights, the model-based and HC1 intervals included 1, while both Newey–West intervals excluded 1 on the unrounded scale (lag 3: 1.000253 to 1.043860). The ladder narrowed from the model-based interval to the Newey–West intervals for that contrast. Robust intervals are not automatically wider, and the direction of that change is itself informative. For HF cold days, all four constructions excluded 1, and *q* remained 0.192. Concordance across standard-error methods does not create multiplicity protection. No interval was chosen because it excluded 1.</w:t>
      </w:r>
    </w:p>
    <w:p>
      <w:pPr>
        <w:spacing w:after="120" w:before="160" w:line="240" w:lineRule="auto"/>
        <w:ind w:firstLine="0"/>
        <w:jc w:val="left"/>
      </w:pPr>
      <w:r>
        <w:rPr>
          <w:rFonts w:ascii="Times New Roman" w:hAnsi="Times New Roman" w:eastAsia="Times New Roman"/>
          <w:b/>
          <w:i w:val="0"/>
          <w:sz w:val="24"/>
        </w:rPr>
        <w:t>Continuous temperature is not an official-day substitute</w:t>
      </w:r>
    </w:p>
    <w:p>
      <w:pPr>
        <w:spacing w:after="160" w:before="0" w:line="240" w:lineRule="auto"/>
        <w:ind w:firstLine="720"/>
        <w:jc w:val="both"/>
      </w:pPr>
      <w:r>
        <w:rPr>
          <w:rFonts w:ascii="Times New Roman" w:hAnsi="Times New Roman" w:eastAsia="Times New Roman"/>
          <w:b w:val="0"/>
          <w:i w:val="0"/>
          <w:sz w:val="24"/>
        </w:rPr>
        <w:t>Table 5 places mean temperature beside the official-day headlines in the same two windows. Before 2020, mean temperature was inversely associated with both outcomes (CHD 0.980, 0.970–0.990; HF 0.945, 0.927–0.963). In the same 84 months, official cold days were positively associated with both outcomes, and official hot nights were compatible with 1 for CHD and inverse for HF. COVID-phase indicators on the full sample moved mean temperature to 0.989 (0.975–1.003) for CHD and 0.967 (0.944–0.991) for HF. Continuous monthly temperature and official day counts are therefore not interchangeable encodings of the same contrast. Nine of the twelve Newey–West lag-6 intervals excluded 1 in the 84-month window, including inverse associations for all six continuous temperature contrasts. No multiplicity control was computed within that window, and no pre-2020 estimate is promoted beyond a labelled specification.</w:t>
      </w:r>
    </w:p>
    <w:p>
      <w:pPr>
        <w:spacing w:after="160" w:before="0" w:line="240" w:lineRule="auto"/>
        <w:ind w:firstLine="0"/>
        <w:jc w:val="both"/>
      </w:pPr>
      <w:r>
        <w:rPr>
          <w:rFonts w:ascii="Times New Roman" w:hAnsi="Times New Roman" w:eastAsia="Times New Roman"/>
          <w:b w:val="0"/>
          <w:i/>
          <w:sz w:val="22"/>
        </w:rPr>
        <w:t>Table 5. Mean temperature versus official-day encodings (Newey–West lag-6).</w:t>
      </w:r>
    </w:p>
    <w:tbl>
      <w:tblPr>
        <w:tblStyle w:val="TableGrid"/>
        <w:tblLayout w:type="fixed"/>
        <w:tblLook w:firstColumn="1" w:firstRow="1" w:lastColumn="0" w:lastRow="0" w:noHBand="0" w:noVBand="1" w:val="04A0"/>
        <w:tblW w:w="5000" w:type="pct"/>
        <w:tblLayout w:type="fixed"/>
      </w:tblPr>
      <w:tblGrid>
        <w:gridCol w:w="1805"/>
        <w:gridCol w:w="1805"/>
        <w:gridCol w:w="1805"/>
        <w:gridCol w:w="1805"/>
        <w:gridCol w:w="1805"/>
      </w:tblGrid>
      <w:tr>
        <w:trPr>
          <w:cantSplit/>
          <w:tblHeader/>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Encoding</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2013–2023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Pre-2020</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COVID-phase indicators</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0.993 (0.976–1.010)</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0.980 (0.970–0.990)</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0.989 (0.975–1.003)</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1.011 (0.991–1.032)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1.013 (0.994–1.033)</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1.036 (1.007–1.067)</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0.991 (0.943–1.041)</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0.974 (0.947–1.002)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0.945 (0.927–0.963)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0.967 (0.944–0.991)</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0.965 (0.937–0.994)</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0.994 (0.972–1.016)</w:t>
            </w:r>
          </w:p>
        </w:tc>
      </w:tr>
      <w:tr>
        <w:trPr>
          <w:cantSplit/>
        </w:trPr>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(1.006–1.144)</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1.113 (1.053–1.176)</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1.074 (1.006–1.145)</w:t>
            </w:r>
          </w:p>
        </w:tc>
      </w:tr>
    </w:tbl>
    <w:p>
      <w:pPr>
        <w:spacing w:after="120" w:before="0" w:line="240" w:lineRule="auto"/>
        <w:ind w:firstLine="0"/>
        <w:jc w:val="left"/>
      </w:pPr>
    </w:p>
    <w:p>
      <w:pPr>
        <w:spacing w:after="120" w:before="160" w:line="240" w:lineRule="auto"/>
        <w:ind w:firstLine="0"/>
        <w:jc w:val="left"/>
      </w:pPr>
      <w:r>
        <w:rPr>
          <w:rFonts w:ascii="Times New Roman" w:hAnsi="Times New Roman" w:eastAsia="Times New Roman"/>
          <w:b/>
          <w:i w:val="0"/>
          <w:sz w:val="24"/>
        </w:rPr>
        <w:t>Joint models, residuals, and influence</w:t>
      </w:r>
    </w:p>
    <w:p>
      <w:pPr>
        <w:spacing w:after="160" w:before="0" w:line="240" w:lineRule="auto"/>
        <w:ind w:firstLine="720"/>
        <w:jc w:val="both"/>
      </w:pPr>
      <w:r>
        <w:rPr>
          <w:rFonts w:ascii="Times New Roman" w:hAnsi="Times New Roman" w:eastAsia="Times New Roman"/>
          <w:b w:val="0"/>
          <w:i w:val="0"/>
          <w:sz w:val="24"/>
        </w:rPr>
        <w:t>After month and trend residualisation, maximum and minimum temperature retained a variance inflation factor of 4.66 when entered jointly. Hot nights and very hot days retained variance inflation factors near 1.96. In the joint extreme-day model, the CHD hot-night count ratio was 1.045 (1.015–1.075), compared with 1.022 in the separate model. The HF cold-day estimate was the same in the joint and separate models, at 1.073. Joint coefficients are diagnostics, and not preferred estimates.</w:t>
      </w:r>
    </w:p>
    <w:p>
      <w:pPr>
        <w:spacing w:after="160" w:before="0" w:line="240" w:lineRule="auto"/>
        <w:ind w:firstLine="720"/>
        <w:jc w:val="both"/>
      </w:pPr>
      <w:r>
        <w:rPr>
          <w:rFonts w:ascii="Times New Roman" w:hAnsi="Times New Roman" w:eastAsia="Times New Roman"/>
          <w:b w:val="0"/>
          <w:i w:val="0"/>
          <w:sz w:val="24"/>
        </w:rPr>
        <w:t>Pearson residual autocorrelation at lag 1 was 0.508 in the CHD hot-night model and 0.146 in the HF cold-day model. Ljung–Box tests at lag 6 gave *p* &lt; 10^−7^ for every CHD Model 1 fit and *p* &gt; 0.3 for every HF Model 1 fit. Serial dependence is part of the inferential problem for CHD, which is why the four-construction ladder is shown rather than a single interval.</w:t>
      </w:r>
    </w:p>
    <w:p>
      <w:pPr>
        <w:spacing w:after="160" w:before="0" w:line="240" w:lineRule="auto"/>
        <w:ind w:firstLine="720"/>
        <w:jc w:val="both"/>
      </w:pPr>
      <w:r>
        <w:rPr>
          <w:rFonts w:ascii="Times New Roman" w:hAnsi="Times New Roman" w:eastAsia="Times New Roman"/>
          <w:b w:val="0"/>
          <w:i w:val="0"/>
          <w:sz w:val="24"/>
        </w:rPr>
        <w:t>Across trend, window, and COVID-phase specifications, the CHD hot-night ratio ranged from 1.011 to 1.025, and the HF cold-day ratio from 1.043 to 1.113 (Figure 3). For CHD hot nights, the 6-df and 8-df intervals exclude 1 (1.024, 1.005–1.044; 1.023, 1.005–1.042). The 3-df interval includes 1 (1.011, 0.990–1.032). The year-indicator interval has the highest point estimate of the trend checks and includes 1 (1.025, 0.9998–1.050). No trend specification is preferred over the 4-df spline in Model 1. For HF cold days, the 8-df interval includes 1 (1.062, 0.994–1.135). Lag-1 month models attenuated the CHD hot-night association toward 1 (1.010, 0.979–1.042). The HF cold-day association remained elevated at lag 1 (1.073, 1.014–1.135) and was weaker at lag 2 (1.053, 0.985–1.127). Lag-one month is a labelled sensitivity, and it is not a daily lag curve. The months with largest Cook’s distance were February 2020 for CHD and February 2022 for HF cold days. Excluding the most influential month left both exploratory directions unchanged (CHD hot nights 1.021, 1.001–1.040; HF cold days 1.088, 1.034–1.144).</w:t>
      </w:r>
    </w:p>
    <w:p>
      <w:pPr>
        <w:spacing w:after="160" w:before="0" w:line="240" w:lineRule="auto"/>
        <w:ind w:firstLine="720"/>
        <w:jc w:val="both"/>
      </w:pPr>
      <w:r>
        <w:rPr>
          <w:rFonts w:ascii="Times New Roman" w:hAnsi="Times New Roman" w:eastAsia="Times New Roman"/>
          <w:b w:val="0"/>
          <w:i w:val="0"/>
          <w:sz w:val="24"/>
        </w:rPr>
        <w:t>The simulated daily-recovery method failed its worst-cell criteria: null Type I error ranged from 0.048 to 0.150, minimum coverage was 0.840, maximum non-null relative bias was 32.8, and the maximum moderate false-sign rate was 0.808. No real daily coefficient is reported.</w:t>
      </w:r>
    </w:p>
    <w:p>
      <w:pPr>
        <w:spacing w:after="120" w:before="240" w:line="240" w:lineRule="auto"/>
        <w:ind w:firstLine="0"/>
        <w:jc w:val="left"/>
      </w:pPr>
      <w:r>
        <w:rPr>
          <w:rFonts w:ascii="Times New Roman" w:hAnsi="Times New Roman" w:eastAsia="Times New Roman"/>
          <w:b/>
          <w:i w:val="0"/>
          <w:sz w:val="28"/>
        </w:rPr>
        <w:t>Discussion</w:t>
      </w:r>
    </w:p>
    <w:p>
      <w:pPr>
        <w:spacing w:after="160" w:before="0" w:line="240" w:lineRule="auto"/>
        <w:ind w:firstLine="720"/>
        <w:jc w:val="both"/>
      </w:pPr>
      <w:r>
        <w:rPr>
          <w:rFonts w:ascii="Times New Roman" w:hAnsi="Times New Roman" w:eastAsia="Times New Roman"/>
          <w:b w:val="0"/>
          <w:i w:val="0"/>
          <w:sz w:val="24"/>
        </w:rPr>
        <w:t>The extract shows window dependence, not a protected thermal discovery. First-event counts halved while the general population aged 35 years or older rose. Cold-day count ratios were stronger in 2013–2019 than in 2013–2023. The CHD hot-night residual appeared only when 2020–2023 were included. All twelve full-window Model 1 *q*-values exceeded 0.19, so neither headline is a confirmatory primary.</w:t>
      </w:r>
    </w:p>
    <w:p>
      <w:pPr>
        <w:spacing w:after="160" w:before="0" w:line="240" w:lineRule="auto"/>
        <w:ind w:firstLine="720"/>
        <w:jc w:val="both"/>
      </w:pPr>
      <w:r>
        <w:rPr>
          <w:rFonts w:ascii="Times New Roman" w:hAnsi="Times New Roman" w:eastAsia="Times New Roman"/>
          <w:b w:val="0"/>
          <w:i w:val="0"/>
          <w:sz w:val="24"/>
        </w:rPr>
        <w:t>Three labelled rivals can produce that pattern. They are not mixed into one mechanism paragraph.</w:t>
      </w:r>
    </w:p>
    <w:p>
      <w:pPr>
        <w:spacing w:after="160" w:before="0" w:line="240" w:lineRule="auto"/>
        <w:ind w:firstLine="0"/>
        <w:jc w:val="both"/>
      </w:pPr>
      <w:r>
        <w:rPr>
          <w:rFonts w:ascii="Times New Roman" w:hAnsi="Times New Roman" w:eastAsia="Times New Roman"/>
          <w:b/>
          <w:i w:val="0"/>
          <w:sz w:val="24"/>
        </w:rPr>
        <w:t>Utilisation.</w:t>
      </w:r>
      <w:r>
        <w:rPr>
          <w:rFonts w:ascii="Times New Roman" w:hAnsi="Times New Roman" w:eastAsia="Times New Roman"/>
          <w:b w:val="0"/>
          <w:i w:val="0"/>
          <w:sz w:val="24"/>
        </w:rPr>
        <w:t xml:space="preserve"> Neighbour Hong Kong files show fewer hospitalisations and more cardiovascular deaths in 2020 [34–37]. Emergency-department visits fell and 28-day mortality among attenders rose [35,36]. Self-reported avoidance of consultation was common [37]. ST-elevation myocardial infarction care was delayed [38,39]. Those are care-seeking and system-shock patterns. They predict fewer first recorded hospitalisations in a monthly Hospital Authority series without requiring a quieter myocardium. They do not identify how much of Table 1 is delayed presentation. They forbid reading the count drop as recovered health.</w:t>
      </w:r>
    </w:p>
    <w:p>
      <w:pPr>
        <w:spacing w:after="160" w:before="0" w:line="240" w:lineRule="auto"/>
        <w:ind w:firstLine="0"/>
        <w:jc w:val="both"/>
      </w:pPr>
      <w:r>
        <w:rPr>
          <w:rFonts w:ascii="Times New Roman" w:hAnsi="Times New Roman" w:eastAsia="Times New Roman"/>
          <w:b/>
          <w:i w:val="0"/>
          <w:sz w:val="24"/>
        </w:rPr>
        <w:t>Depletion.</w:t>
      </w:r>
      <w:r>
        <w:rPr>
          <w:rFonts w:ascii="Times New Roman" w:hAnsi="Times New Roman" w:eastAsia="Times New Roman"/>
          <w:b w:val="0"/>
          <w:i w:val="0"/>
          <w:sz w:val="24"/>
        </w:rPr>
        <w:t xml:space="preserve"> The event is a first hospitalisation after a first CHD or HF diagnosis inside a 2013–2023 diagnosis window. People who have already had that first event cannot contribute another. Absent monthly still-at-risk person-time, the decline in Figure 1 is compatible with a shrinking risk set, with avoided care, or with both [14]. It is not incidence in the territory, and it is not a measure of physiological improvement.</w:t>
      </w:r>
    </w:p>
    <w:p>
      <w:pPr>
        <w:spacing w:after="160" w:before="0" w:line="240" w:lineRule="auto"/>
        <w:ind w:firstLine="0"/>
        <w:jc w:val="both"/>
      </w:pPr>
      <w:r>
        <w:rPr>
          <w:rFonts w:ascii="Times New Roman" w:hAnsi="Times New Roman" w:eastAsia="Times New Roman"/>
          <w:b/>
          <w:i w:val="0"/>
          <w:sz w:val="24"/>
        </w:rPr>
        <w:t>Weather-entanglement.</w:t>
      </w:r>
      <w:r>
        <w:rPr>
          <w:rFonts w:ascii="Times New Roman" w:hAnsi="Times New Roman" w:eastAsia="Times New Roman"/>
          <w:b w:val="0"/>
          <w:i w:val="0"/>
          <w:sz w:val="24"/>
        </w:rPr>
        <w:t xml:space="preserve"> Official hot nights were more frequent in the same years in which care-seeking changed (2.7 per month in 2013–2019; 4.5 per month in 2020–2022). The CHD hot-night residual needs those later years. The same 4-df spline that absorbs the first-event decline also absorbs the hot-night trend. That is an identification problem, not evidence that hot nights caused the count drop. Official cold days remain a winter-to-winter contrast (141 of 145 days in December–February; 29 of 132 months carry any). Weather is therefore insufficient as an account of the period difference, and it is not irrelevant to the fit. Continuous mean temperature in the pre-2020 window is inverse for both outcomes and is not a substitute for the official-day encoding (Table 5).</w:t>
      </w:r>
    </w:p>
    <w:p>
      <w:pPr>
        <w:spacing w:after="160" w:before="0" w:line="240" w:lineRule="auto"/>
        <w:ind w:firstLine="720"/>
        <w:jc w:val="both"/>
      </w:pPr>
      <w:r>
        <w:rPr>
          <w:rFonts w:ascii="Times New Roman" w:hAnsi="Times New Roman" w:eastAsia="Times New Roman"/>
          <w:b w:val="0"/>
          <w:i w:val="0"/>
          <w:sz w:val="24"/>
        </w:rPr>
        <w:t>Daily cardiac-admission neighbours do not rescue a monthly first-event claim. Goggins and Chan’s cumulative relative risk comparing 11 °C with 25 °C is not a monthly count ratio per five official cold days, and it is not imported into Table 2 or Table 3 [21]. Guo et al. reported no overall association for the official hot-night flag after adjustment for mean temperature [17]. A difference between monthly mean temperature and monthly official counts does not identify an intensity mechanism, and it does not identify a 2020 physiological recovery.</w:t>
      </w:r>
    </w:p>
    <w:p>
      <w:pPr>
        <w:spacing w:after="160" w:before="0" w:line="240" w:lineRule="auto"/>
        <w:ind w:firstLine="720"/>
        <w:jc w:val="both"/>
      </w:pPr>
      <w:r>
        <w:rPr>
          <w:rFonts w:ascii="Times New Roman" w:hAnsi="Times New Roman" w:eastAsia="Times New Roman"/>
          <w:b w:val="0"/>
          <w:i w:val="0"/>
          <w:sz w:val="24"/>
        </w:rPr>
        <w:t>A monthly official-day total does not distinguish consecutive days from days scattered through the month. Five additional official days in a month is a reporting scale rather than a consecutive-day trigger. Interrupted overnight recovery remains a hypothesis that this design cannot test. A corresponding hypothesis for HF is haemodynamic: cold exposure can raise afterload; a failing heart has little reserve against that load [27,28]. The present counts do not measure afterload, blood pressure, infection, or laboratory control. Hong Kong already issues heat and cold warnings [30,31,33]. These estimates do not evaluate those warnings and do not quantify hospitalisations prevented.</w:t>
      </w:r>
    </w:p>
    <w:p>
      <w:pPr>
        <w:spacing w:after="160" w:before="0" w:line="240" w:lineRule="auto"/>
        <w:ind w:firstLine="720"/>
        <w:jc w:val="both"/>
      </w:pPr>
      <w:r>
        <w:rPr>
          <w:rFonts w:ascii="Times New Roman" w:hAnsi="Times New Roman" w:eastAsia="Times New Roman"/>
          <w:b w:val="0"/>
          <w:i w:val="0"/>
          <w:sz w:val="24"/>
        </w:rPr>
        <w:t>Influenza coverage is 121 of 132 months and is a sensitivity, not Model 1. A labelled synthetic count process, not this Hospital Authority panel, can attenuate a full-window coefficient when utilisation or an influenza-like term collapses after month 84 while the true thermal coefficient is held constant. That warning is about identification. It is not a Hong Kong count ratio.</w:t>
      </w:r>
    </w:p>
    <w:p>
      <w:pPr>
        <w:spacing w:after="160" w:before="0" w:line="240" w:lineRule="auto"/>
        <w:ind w:firstLine="720"/>
        <w:jc w:val="both"/>
      </w:pPr>
      <w:r>
        <w:rPr>
          <w:rFonts w:ascii="Times New Roman" w:hAnsi="Times New Roman" w:eastAsia="Times New Roman"/>
          <w:b w:val="0"/>
          <w:i w:val="0"/>
          <w:sz w:val="24"/>
        </w:rPr>
        <w:t>Liu et al. (2020, 2026) remain complementary mortality baselines [12,13]. Their attributable fractions and excess-death totals cannot be rescaled into the present count ratios. Pollution declined across the decade [7]. That co-trend is slow, and it is not a 2020-only physiological switch. Confounding by infection or ozone is unresolved in Model 1.</w:t>
      </w:r>
    </w:p>
    <w:p>
      <w:pPr>
        <w:spacing w:after="120" w:before="240" w:line="240" w:lineRule="auto"/>
        <w:ind w:firstLine="0"/>
        <w:jc w:val="left"/>
      </w:pPr>
      <w:r>
        <w:rPr>
          <w:rFonts w:ascii="Times New Roman" w:hAnsi="Times New Roman" w:eastAsia="Times New Roman"/>
          <w:b/>
          <w:i w:val="0"/>
          <w:sz w:val="28"/>
        </w:rPr>
        <w:t>Conclusion</w:t>
      </w:r>
    </w:p>
    <w:p>
      <w:pPr>
        <w:spacing w:after="160" w:before="0" w:line="240" w:lineRule="auto"/>
        <w:ind w:firstLine="720"/>
        <w:jc w:val="both"/>
      </w:pPr>
      <w:r>
        <w:rPr>
          <w:rFonts w:ascii="Times New Roman" w:hAnsi="Times New Roman" w:eastAsia="Times New Roman"/>
          <w:b w:val="0"/>
          <w:i w:val="0"/>
          <w:sz w:val="24"/>
        </w:rPr>
        <w:t>In this 2013–2023 first-event extract, monthly CHD and HF counts fell, and cold-day count ratios were stronger before 2020 than in the full window. Official hot nights and cold days do not supply a sufficient account of that window dependence. They remain part of the exposure record. The data do not show that health recovered after 2020, and they do not support a multiplicity-protected differential thermal claim. What the file supports is a window-dependent count ratio for a first hospitalisation after a first diagnosis, without admission cause and without person-time.</w:t>
      </w:r>
    </w:p>
    <w:p>
      <w:pPr>
        <w:spacing w:after="120" w:before="240" w:line="240" w:lineRule="auto"/>
        <w:ind w:firstLine="0"/>
        <w:jc w:val="left"/>
      </w:pPr>
      <w:r>
        <w:rPr>
          <w:rFonts w:ascii="Times New Roman" w:hAnsi="Times New Roman" w:eastAsia="Times New Roman"/>
          <w:b/>
          <w:i w:val="0"/>
          <w:sz w:val="28"/>
        </w:rPr>
        <w:t>Strengths and limitations</w:t>
      </w:r>
    </w:p>
    <w:p>
      <w:pPr>
        <w:spacing w:after="160" w:before="0" w:line="240" w:lineRule="auto"/>
        <w:ind w:firstLine="0"/>
        <w:jc w:val="both"/>
      </w:pPr>
      <w:r>
        <w:rPr>
          <w:rFonts w:ascii="Times New Roman" w:hAnsi="Times New Roman" w:eastAsia="Times New Roman"/>
          <w:b/>
          <w:i w:val="0"/>
          <w:sz w:val="24"/>
        </w:rPr>
        <w:t>Strengths.</w:t>
      </w:r>
      <w:r>
        <w:rPr>
          <w:rFonts w:ascii="Times New Roman" w:hAnsi="Times New Roman" w:eastAsia="Times New Roman"/>
          <w:b w:val="0"/>
          <w:i w:val="0"/>
          <w:sz w:val="24"/>
        </w:rPr>
        <w:t xml:space="preserve"> The analysis window is treated as part of the estimand rather than as a nuisance to be averaged through. Official-day ratios are shown for both the full window and the labelled 84-month specification. All twelve full-window Model 1 fits are reported. Uncertainty is shown as a four-construction ladder. Figure 1 and Figure 3 display the two objects the thesis needs: the first-event decline and the dependence of each official-day ratio on the window and the time smooth.</w:t>
      </w:r>
    </w:p>
    <w:p>
      <w:pPr>
        <w:spacing w:after="160" w:before="0" w:line="240" w:lineRule="auto"/>
        <w:ind w:firstLine="0"/>
        <w:jc w:val="both"/>
      </w:pPr>
      <w:r>
        <w:rPr>
          <w:rFonts w:ascii="Times New Roman" w:hAnsi="Times New Roman" w:eastAsia="Times New Roman"/>
          <w:b/>
          <w:i w:val="0"/>
          <w:sz w:val="24"/>
        </w:rPr>
        <w:t>Limitations.</w:t>
      </w:r>
      <w:r>
        <w:rPr>
          <w:rFonts w:ascii="Times New Roman" w:hAnsi="Times New Roman" w:eastAsia="Times New Roman"/>
          <w:b w:val="0"/>
          <w:i w:val="0"/>
          <w:sz w:val="24"/>
        </w:rPr>
        <w:t xml:space="preserve"> Admission cause was not recorded, so an event is a first hospitalisation after a first diagnosis and not a cardiac-caused admission. Monthly counts of people still at risk of a first event were unavailable, so the estimates are count ratios rather than incidence-rate ratios [14]. Laboratory series were not delivered. The design is ecological and monthly, so individual-level and daily-triggering interpretations are not identified [14]. Monthly official-day totals cannot identify consecutive duration. Age, sex, and disease-subtype strata were not delivered. Residual serial correlation remains material for CHD, with lag-1 Pearson autocorrelation of 0.508 in the hot-night model. Official cold days are concentrated in December–February, and only 29 of 132 months carry any official cold day. The CHD hot-night estimate is compatible with 1 before 2020. There is no post-only 48-month Model 1 table. Official hot-night counts are not hourly nighttime excess heat [17]. All exposures were measured at a single Observatory station and applied territory-wide. Influenza is missing for January–October 2013. Confounding by pollution, humidity, rainfall, and influenza is unresolved in Model 1. A corresponding stroke series was not available. Influence months include February 2020 for CHD and February 2022 for HF cold days. Physiological mechanisms are not identified from the 132 months.</w:t>
      </w:r>
    </w:p>
    <w:p>
      <w:pPr>
        <w:spacing w:after="120" w:before="240" w:line="240" w:lineRule="auto"/>
        <w:ind w:firstLine="0"/>
        <w:jc w:val="left"/>
      </w:pPr>
      <w:r>
        <w:rPr>
          <w:rFonts w:ascii="Times New Roman" w:hAnsi="Times New Roman" w:eastAsia="Times New Roman"/>
          <w:b/>
          <w:i w:val="0"/>
          <w:sz w:val="28"/>
        </w:rPr>
        <w:t>Declaration on the use of AI</w:t>
      </w:r>
    </w:p>
    <w:p>
      <w:pPr>
        <w:spacing w:after="160" w:before="0" w:line="240" w:lineRule="auto"/>
        <w:ind w:firstLine="720"/>
        <w:jc w:val="both"/>
      </w:pPr>
      <w:r>
        <w:rPr>
          <w:rFonts w:ascii="Times New Roman" w:hAnsi="Times New Roman" w:eastAsia="Times New Roman"/>
          <w:b w:val="0"/>
          <w:i w:val="0"/>
          <w:sz w:val="24"/>
        </w:rPr>
        <w:t>AI-assisted tools were used for code scaffolding, methodological brainstorming, and review of potential data and modelling issues. Scientific claims and numerical results were checked against Hospital Authority monthly counts and the live weather paragraph.</w:t>
      </w:r>
    </w:p>
    <w:p>
      <w:pPr>
        <w:spacing w:after="120" w:before="240" w:line="240" w:lineRule="auto"/>
        <w:ind w:firstLine="0"/>
        <w:jc w:val="left"/>
      </w:pPr>
      <w:r>
        <w:rPr>
          <w:rFonts w:ascii="Times New Roman" w:hAnsi="Times New Roman" w:eastAsia="Times New Roman"/>
          <w:b/>
          <w:i w:val="0"/>
          <w:sz w:val="28"/>
        </w:rPr>
        <w:t>Declaration of competing interest</w:t>
      </w:r>
    </w:p>
    <w:p>
      <w:pPr>
        <w:spacing w:after="160" w:before="0" w:line="240" w:lineRule="auto"/>
        <w:ind w:firstLine="720"/>
        <w:jc w:val="both"/>
      </w:pPr>
      <w:r>
        <w:rPr>
          <w:rFonts w:ascii="Times New Roman" w:hAnsi="Times New Roman" w:eastAsia="Times New Roman"/>
          <w:b w:val="0"/>
          <w:i w:val="0"/>
          <w:sz w:val="24"/>
        </w:rPr>
        <w:t>The authors declare no competing interests.</w:t>
      </w:r>
    </w:p>
    <w:p>
      <w:pPr>
        <w:spacing w:after="120" w:before="240" w:line="240" w:lineRule="auto"/>
        <w:ind w:firstLine="0"/>
        <w:jc w:val="left"/>
      </w:pPr>
      <w:r>
        <w:rPr>
          <w:rFonts w:ascii="Times New Roman" w:hAnsi="Times New Roman" w:eastAsia="Times New Roman"/>
          <w:b/>
          <w:i w:val="0"/>
          <w:sz w:val="28"/>
        </w:rPr>
        <w:t>Acknowledgements</w:t>
      </w:r>
    </w:p>
    <w:p>
      <w:pPr>
        <w:spacing w:after="160" w:before="0" w:line="240" w:lineRule="auto"/>
        <w:ind w:firstLine="720"/>
        <w:jc w:val="both"/>
      </w:pPr>
      <w:r>
        <w:rPr>
          <w:rFonts w:ascii="Times New Roman" w:hAnsi="Times New Roman" w:eastAsia="Times New Roman"/>
          <w:b w:val="0"/>
          <w:i w:val="0"/>
          <w:sz w:val="24"/>
        </w:rPr>
        <w:t>None.</w:t>
      </w:r>
    </w:p>
    <w:p>
      <w:pPr>
        <w:spacing w:after="120" w:before="240" w:line="240" w:lineRule="auto"/>
        <w:ind w:firstLine="0"/>
        <w:jc w:val="left"/>
      </w:pPr>
      <w:r>
        <w:rPr>
          <w:rFonts w:ascii="Times New Roman" w:hAnsi="Times New Roman" w:eastAsia="Times New Roman"/>
          <w:b/>
          <w:i w:val="0"/>
          <w:sz w:val="28"/>
        </w:rPr>
        <w:t>Data and code availability</w:t>
      </w:r>
    </w:p>
    <w:p>
      <w:pPr>
        <w:spacing w:after="160" w:before="0" w:line="240" w:lineRule="auto"/>
        <w:ind w:firstLine="720"/>
        <w:jc w:val="both"/>
      </w:pPr>
      <w:r>
        <w:rPr>
          <w:rFonts w:ascii="Times New Roman" w:hAnsi="Times New Roman" w:eastAsia="Times New Roman"/>
          <w:b w:val="0"/>
          <w:i w:val="0"/>
          <w:sz w:val="24"/>
        </w:rPr>
        <w:t>Code is at https://github.com/bobshenruililin/Laidlaw-Heat-Project. Monthly hospital counts are not posted. What may be shared later depends on ethics approval. This file is a candidate article on the COVID-period track. It does not overwrite the parked thermal manuscript.</w:t>
      </w:r>
    </w:p>
    <w:p>
      <w:pPr>
        <w:spacing w:after="120" w:before="240" w:line="240" w:lineRule="auto"/>
        <w:ind w:firstLine="0"/>
        <w:jc w:val="left"/>
      </w:pPr>
      <w:r>
        <w:rPr>
          <w:rFonts w:ascii="Times New Roman" w:hAnsi="Times New Roman" w:eastAsia="Times New Roman"/>
          <w:b/>
          <w:i w:val="0"/>
          <w:sz w:val="28"/>
        </w:rPr>
        <w:t>References</w:t>
      </w:r>
    </w:p>
    <w:p>
      <w:pPr>
        <w:spacing w:after="160" w:before="0" w:line="240" w:lineRule="auto"/>
        <w:ind w:firstLine="720"/>
        <w:jc w:val="both"/>
      </w:pPr>
      <w:r>
        <w:rPr>
          <w:rFonts w:ascii="Times New Roman" w:hAnsi="Times New Roman" w:eastAsia="Times New Roman"/>
          <w:b w:val="0"/>
          <w:i w:val="0"/>
          <w:sz w:val="24"/>
        </w:rPr>
        <w:t>1. Goggins WB, Chan EYY, Yang CY. Weather, pollution, and acute myocardial infarction in Hong Kong and Taiwan. *Int J Cardiol*. 2013;168(1):243-249. doi:10.1016/j.ijcard.2012.09.087 2. Hong Kong Observatory. The Year's Weather — 2013. https://www.hko.gov.hk/en/wxinfo/pastwx/ywx2013.htm 3. Hong Kong Observatory. The Year's Weather — 2017. https://www.hko.gov.hk/en/wxinfo/pastwx/2017/ywx2017.htm 4. Hong Kong Observatory. The Year's Weather — 2021. https://www.hko.gov.hk/en/wxinfo/pastwx/2021/ywx2021.htm 5. Hong Kong Observatory. The Year's Weather — 2024. https://www.hko.gov.hk/en/wxinfo/pastwx/2024/ywx2024.htm 6. Hong Kong Observatory. Hong Kong Observatory Open Data. https://www.hko.gov.hk/en/abouthko/opendata_intro.htm 7. Environmental Protection Department. Environmental Protection Interactive Centre: Air Quality Data. https://cd.epic.epd.gov.hk/EPICDI/air/station/?lang=en 8. Census and Statistics Department. Population by Sex and Age Group (Table 110-01001). https://data.gov.hk/en-data/dataset/hk-censtatd-tablechart-110-01001 9. Ye X, Wolff R, Yu W, Vaneckova P, Pan X, Tong S. Ambient temperature and morbidity: a review of epidemiological evidence. *Environ Health Perspect*. 2012;120(1):19-28. doi:10.1289/ehp.1003198 10. Bhaskaran K, Gasparrini A, Hajat S, Smeeth L, Armstrong B. Time series regression studies in environmental epidemiology. *Int J Epidemiol*. 2013;42(4):1187-1195. doi:10.1093/ije/dyt092 11. Goggins WB, Woo J, Ho S, Chan EYY, Chau PH. Weather, season, and daily stroke admissions in Hong Kong. *Int J Biometeorol*. 2012;56(5):865-872. doi:10.1007/s00484-011-0491-9 12. Liu J, Hansen A, Varghese B, et al. Cause-specific mortality attributable to cold and hot ambient temperatures in Hong Kong: a time-series study, 2006–2016. *Sustain Cities Soc*. 2020;57:102131. doi:10.1016/j.scs.2020.102131 13. Liu Z, Ren C, Liu J, Kawasaki Y, Bishai DM. Modelling the excess mortality associated with heat waves in Hong Kong: 2014–2023. medRxiv. 2026. doi:10.64898/2026.03.05.26347683 14. Greenland S, Morgenstern H. Ecological bias, confounding, and effect modification. *Int J Epidemiol*. 1989;18(1):269-274. doi:10.1093/ije/18.1.269 15. Basagaña X, Ballester J. Unbiased temperature-related mortality estimates using weekly and monthly health data: a new method for environmental epidemiology and climate impact studies. *Lancet Planet Health*. 2024;8(10):e766-e777. doi:10.1016/S2542-5196(24)00212-2 16. Basagaña X, Ballester J. Unbiased estimates using temporally aggregated outcome data in time series analysis: generalization to different outcomes, exposures, and types of aggregation. *Epidemiology*. 2026;37(1):16-20. doi:10.1097/EDE.0000000000001923 17. Guo YT, Chan KH, Qiu H, Wong ELY, Ho KF. The risk of hospitalization associated with hot nights and excess nighttime heat in a subtropical metropolis: a time-series study in Hong Kong, 2000–2019. *Lancet Reg Health West Pac*. 2024;51:101168. doi:10.1016/j.lanwpc.2024.101168 18. Yang Z, Wei Y, Jiang X, et al. Association of cold weather and influenza infection with stroke: a 22-year time-series analysis. *Int J Biometeorol*. 2025;69(5):963-973. doi:10.1007/s00484-025-02870-2 19. Newey WK, West KD. A simple, positive semi-definite, heteroskedasticity and autocorrelation consistent covariance matrix. *Econometrica*. 1987;55(3):703-708. doi:10.2307/1913610 20. Benjamini Y, Hochberg Y. Controlling the false discovery rate: a practical and powerful approach to multiple testing. *J R Stat Soc Series B*. 1995;57(1):289-300. doi:10.1111/j.2517-6161.1995.tb02031.x 21. Goggins WB, Chan EYY. A study of the short-term associations between hospital admissions and mortality from heart failure and meteorological variables in Hong Kong. *Int J Cardiol*. 2017;228:537-542. doi:10.1016/j.ijcard.2016.11.106 22. Chan EYY, Goggins WB, Yue JSK, Lee P. Hospital admissions as a function of temperature, other weather phenomena and pollution levels in an urban setting in China. *Bull World Health Organ*. 2013;91(8):576-584. doi:10.2471/BLT.12.113035 23. Chevance G, Minor K, Vielma C, et al. A systematic review of ambient heat and sleep in a warming climate. *Sleep Med Rev*. 2024;75:101915. doi:10.1016/j.smrv.2024.101915 24. Ioannou LG, Tsoutsoubi L, Mantzios K, et al. Impact of a simulated multiday heatwave on nocturnal physiology, behavior, and sleep: a 10-day confinement study. *Appl Physiol Nutr Metab*. 2024;49:1394-1408. doi:10.1139/apnm-2024-0105 25. O’Connor FK, Bach AJE, Forbes C, et al. Effect of nighttime bedroom temperature on heart rate variability in older adults: an observational study. *BMC Med*. 2025;23:703. doi:10.1186/s12916-025-04513-0 26. Ashe N, Wozniak S, Conner M, et al. Association of extreme heat events with sleep and cardiovascular health: a scoping review. *Syst Rev*. 2025;14:19. doi:10.1186/s13643-024-02742-7 27. Ikäheimo TM. Cardiovascular diseases, cold exposure and exercise. *Temperature (Austin)*. 2018;5(2):123-146. doi:10.1080/23328940.2017.1414014 28. Li Y, Wu J, Xu Y, et al. Cold exposure and the cardiovascular system: from physiological adaptation to pathological risk. *Front Physiol*. 2026;16:1740919. doi:10.3389/fphys.2025.1740919 29. WHO Regional Office for Europe. *Heat–health action plans: guidance*. 2nd ed. Copenhagen: WHO Regional Office for Europe; 2026. ISBN 9789289062930. https://www.who.int/europe/publications/i/item/9789289062930 30. Chong SN, Law HF. Beware of Health Effects of Extremely Hot Weather. Hong Kong Observatory. December 2023. https://www.hko.gov.hk/en/education/weather/hot-and-cold-weather/00706-Beware-of-Health-Effects-of-Extremely-Hot-Weather.html 31. Hong Kong Observatory. Cold and Very Hot Weather Warnings. https://www.hko.gov.hk/en/wservice/warning/coldhot.htm 32. Centre for Health Protection. Beware of Heat Stroke. 11 August 2025. https://www.chp.gov.hk/en/static/90064.html 33. Home Affairs Department. Emergency Relief Services: temporary heat shelters. https://www.had.gov.hk/en/public_services/emergency_services/emergency.htm 34. Xin H, Wu P, Wong JY, et al. Hospitalizations and mortality during the first year of the COVID-19 pandemic in Hong Kong, China: a retrospective observational study. *Lancet Reg Health West Pac*. 2022;21:100645. doi:10.1016/j.lanwpc.2022.100645 35. Wai AKC, Wong CKH, Wong JYH, et al. Changes in emergency department visits, diagnostic groups, and 28-day mortality associated with the COVID-19 pandemic. *Ann Emerg Med*. 2022;79(2):148-157. doi:10.1016/j.annemergmed.2021.09.424 36. Wai AKC, Yip TF, Wong YH, et al. The effect of the COVID-19 pandemic on non–COVID-19 deaths: a cohort study. *JMIR Public Health Surveill*. 2024;10:e41792. doi:10.2196/41792 37. Hung KK, Walline JH, Chan EYY, et al. Health service utilization in Hong Kong during the COVID-19 pandemic: a cross-sectional public survey. *Int J Health Policy Manag*. 2022;11(4):508-513. doi:10.34172/ijhpm.2020.183 38. Tam CCF, Cheung KS, Lam S, et al. Impact of coronavirus disease 2019 (COVID-19) outbreak on ST-segment–elevation myocardial infarction care in Hong Kong, China. *Circ Cardiovasc Qual Outcomes*. 2020;13(4):e006631. doi:10.1161/CIRCOUTCOMES.120.006631 39. Tam CCF, Cheung KS, Lam S, et al. Impact of coronavirus disease 2019 (COVID-19) outbreak on outcome of myocardial infarction in Hong Kong, China. *Catheter Cardiovasc Interv*. 2021;97(2):E194-E197. doi:10.1002/ccd.28943</w:t>
      </w:r>
    </w:p>
    <w:sectPr w:rsidR="00FC693F" w:rsidRPr="0006063C" w:rsidSect="00034616">
      <w:head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Window dependence of first CHD/HF hospitalisation</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