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40" w:lineRule="auto"/>
        <w:ind w:firstLine="0"/>
      </w:pPr>
      <w:r>
        <w:rPr>
          <w:rFonts w:ascii="Times New Roman" w:hAnsi="Times New Roman" w:eastAsia="Times New Roman"/>
          <w:b/>
          <w:i w:val="0"/>
          <w:sz w:val="28"/>
        </w:rPr>
        <w:t>Methods — paste into Hogan live file (24 August 2026)</w:t>
      </w:r>
    </w:p>
    <w:p>
      <w:pPr>
        <w:spacing w:after="160" w:line="240" w:lineRule="auto"/>
        <w:ind w:firstLine="0"/>
      </w:pPr>
      <w:r>
        <w:rPr>
          <w:rFonts w:ascii="Times New Roman" w:hAnsi="Times New Roman" w:eastAsia="Times New Roman"/>
          <w:b w:val="0"/>
          <w:i/>
          <w:sz w:val="20"/>
        </w:rPr>
        <w:t>Replace the live Methods with the text below. Do not email this file. The weather paragraph is Hogan’s 24 August wording.</w:t>
      </w:r>
    </w:p>
    <w:p>
      <w:pPr>
        <w:spacing w:after="120" w:line="240" w:lineRule="auto"/>
        <w:ind w:firstLine="0"/>
      </w:pPr>
      <w:r>
        <w:rPr>
          <w:rFonts w:ascii="Times New Roman" w:hAnsi="Times New Roman" w:eastAsia="Times New Roman"/>
          <w:b/>
          <w:i w:val="0"/>
          <w:sz w:val="24"/>
        </w:rPr>
        <w:t>Data sources</w:t>
      </w:r>
    </w:p>
    <w:p>
      <w:pPr>
        <w:spacing w:after="80" w:line="240" w:lineRule="auto"/>
        <w:ind w:firstLine="0"/>
      </w:pPr>
      <w:r>
        <w:rPr>
          <w:rFonts w:ascii="Times New Roman" w:hAnsi="Times New Roman" w:eastAsia="Times New Roman"/>
          <w:b/>
          <w:i/>
          <w:sz w:val="24"/>
        </w:rPr>
        <w:t>Health data</w:t>
      </w:r>
    </w:p>
    <w:p>
      <w:pPr>
        <w:spacing w:after="160" w:line="240" w:lineRule="auto"/>
        <w:ind w:firstLine="720"/>
      </w:pPr>
      <w:r>
        <w:rPr>
          <w:rFonts w:ascii="Times New Roman" w:hAnsi="Times New Roman" w:eastAsia="Times New Roman"/>
          <w:b w:val="0"/>
          <w:i w:val="0"/>
          <w:sz w:val="24"/>
        </w:rPr>
        <w:t>The dependent variable is the monthly count of first hospitalisations after a first diagnosis of CHD, and separately of HF, among people with type 2 diabetes and/or hypertension in Hong Kong. The outcome co-investigator built and released these monthly counts. The cohort is people diagnosed with type 2 diabetes and/or hypertension during 2013–2023. For each person, the event is the first recorded hospitalisation after that person’s first CHD diagnosis or first HF diagnosis. A clinical collaborator helped construct the diagnosis records. The reason for admission was not recorded. The delivered files were labelled `chd_inpatient` and `hf_inpatient` for each calendar month. We treat those labels as inpatient counts. Age and sex breakdowns were not included. A stroke file was named in correspondence but was not provided, so we do not analyse stroke. ICD code lists remain with the outcome co-investigator.</w:t>
      </w:r>
    </w:p>
    <w:p>
      <w:pPr>
        <w:spacing w:after="160" w:line="240" w:lineRule="auto"/>
        <w:ind w:firstLine="720"/>
      </w:pPr>
      <w:r>
        <w:rPr>
          <w:rFonts w:ascii="Times New Roman" w:hAnsi="Times New Roman" w:eastAsia="Times New Roman"/>
          <w:b w:val="0"/>
          <w:i w:val="0"/>
          <w:sz w:val="24"/>
        </w:rPr>
        <w:t>Monthly influenza activity from November 2013 through December 2023 came from Centre for Health Protection Flu Express summaries. Flu Express did not publish a usable monthly series for January–October 2013, so those ten months are missing. We did not fill them with zeros. Influenza is not in Model 1.</w:t>
      </w:r>
    </w:p>
    <w:p>
      <w:pPr>
        <w:spacing w:after="80" w:line="240" w:lineRule="auto"/>
        <w:ind w:firstLine="0"/>
      </w:pPr>
      <w:r>
        <w:rPr>
          <w:rFonts w:ascii="Times New Roman" w:hAnsi="Times New Roman" w:eastAsia="Times New Roman"/>
          <w:b/>
          <w:i/>
          <w:sz w:val="24"/>
        </w:rPr>
        <w:t>Weather and air pollution data</w:t>
      </w:r>
    </w:p>
    <w:p>
      <w:pPr>
        <w:spacing w:after="160" w:line="240" w:lineRule="auto"/>
        <w:ind w:firstLine="720"/>
      </w:pPr>
      <w:r>
        <w:rPr>
          <w:rFonts w:ascii="Times New Roman" w:hAnsi="Times New Roman" w:eastAsia="Times New Roman"/>
          <w:b w:val="0"/>
          <w:i w:val="0"/>
          <w:sz w:val="24"/>
        </w:rPr>
        <w:t>Meteorological data was obtained from the HKO. The monthly variables included: temperature (mean, minimum, maximum), relative humidity, total rainfall, the number of hot nights (Tmin ≥ 28°C), the number of very hot days (Tmax ≥ 33°C), the number of extremely hot days (Tmax ≥ 35°C), and the number of cold days (Tmin ≤ 12°C). Monthly mean pollutant levels for nitrogen dioxide (NO2), sulfur dioxide (SO2), and ozone (O3) were obtained from the Hong Kong Environmental Protection Department (EPD). All monthly data were derived by taking the average of daily data in each calendar month.</w:t>
      </w:r>
    </w:p>
    <w:p>
      <w:pPr>
        <w:spacing w:after="160" w:line="240" w:lineRule="auto"/>
        <w:ind w:firstLine="720"/>
      </w:pPr>
      <w:r>
        <w:rPr>
          <w:rFonts w:ascii="Times New Roman" w:hAnsi="Times New Roman" w:eastAsia="Times New Roman"/>
          <w:b w:val="0"/>
          <w:i w:val="0"/>
          <w:sz w:val="24"/>
        </w:rPr>
        <w:t>The monthly weather list includes total rainfall and official extreme-day counts. In the analysis file, rainfall is the monthly total in millimetres, and hot nights, very hot days, extremely hot days, and cold days are day counts. We analysed monthly mean temperature, monthly mean daily maximum temperature, monthly mean daily minimum temperature, and the official counts of hot nights, very hot days, and cold days. We divided the three official counts by 5 so that each estimate is the change in monthly hospital counts associated with five extra such days in that month, rather than with one extra day. Five days is a convenient scale, not a new weather threshold. A station-month entered a pollutant mean only when at least 75% of expected readings were present. Missing readings were not coded as zero. Territory-wide monthly pollutant values are unweighted means of eligible general stations. Roadside monitors were not used. Nitrogen dioxide and PM2.5 were specified to enter pollution checks before ozone, because ozone often rises on hot, sunny days. We did not use extra heatwave-spell rules beyond the official daily thresholds.</w:t>
      </w:r>
    </w:p>
    <w:p>
      <w:pPr>
        <w:spacing w:after="160" w:line="240" w:lineRule="auto"/>
        <w:ind w:firstLine="720"/>
      </w:pPr>
      <w:r>
        <w:rPr>
          <w:rFonts w:ascii="Times New Roman" w:hAnsi="Times New Roman" w:eastAsia="Times New Roman"/>
          <w:b w:val="0"/>
          <w:i w:val="0"/>
          <w:sz w:val="24"/>
        </w:rPr>
        <w:t>For Model 3 we also counted, in each calendar month of each year, how many days were warmer or cooler than the historical mean for that same calendar day. The historical mean for 15 July in 2018, for example, is the mean of all other 15 July values in the 2012–2023 Headquarters series, leaving 2018 out. We did the same for daily maximum and daily minimum temperature. This is a count of days that were unusually warm or unusually cool for the date. It is not a temperature-variability index and it has no extra threshold.</w:t>
      </w:r>
    </w:p>
    <w:p>
      <w:pPr>
        <w:spacing w:after="80" w:line="240" w:lineRule="auto"/>
        <w:ind w:firstLine="0"/>
      </w:pPr>
      <w:r>
        <w:rPr>
          <w:rFonts w:ascii="Times New Roman" w:hAnsi="Times New Roman" w:eastAsia="Times New Roman"/>
          <w:b/>
          <w:i/>
          <w:sz w:val="24"/>
        </w:rPr>
        <w:t>Population</w:t>
      </w:r>
    </w:p>
    <w:p>
      <w:pPr>
        <w:spacing w:after="160" w:line="240" w:lineRule="auto"/>
        <w:ind w:firstLine="720"/>
      </w:pPr>
      <w:r>
        <w:rPr>
          <w:rFonts w:ascii="Times New Roman" w:hAnsi="Times New Roman" w:eastAsia="Times New Roman"/>
          <w:b w:val="0"/>
          <w:i w:val="0"/>
          <w:sz w:val="24"/>
        </w:rPr>
        <w:t>Age- and sex-specific mid-year population estimates from the Census and Statistics Department (Table 110-01001) were linearly interpolated to the middle of each month [8]. These numbers describe the whole population of Hong Kong, not the diabetes or hypertension group still at risk of a first CHD or HF hospitalisation. Model 1 therefore uses the number of days in the month as the offset and is read as a monthly count ratio, not as a cohort incidence rate [14]. A population × days offset is a sensitivity only. It does not turn the estimate into cohort incidence.</w:t>
      </w:r>
    </w:p>
    <w:p>
      <w:pPr>
        <w:spacing w:after="120" w:line="240" w:lineRule="auto"/>
        <w:ind w:firstLine="0"/>
      </w:pPr>
      <w:r>
        <w:rPr>
          <w:rFonts w:ascii="Times New Roman" w:hAnsi="Times New Roman" w:eastAsia="Times New Roman"/>
          <w:b/>
          <w:i w:val="0"/>
          <w:sz w:val="24"/>
        </w:rPr>
        <w:t>Statistical analysis</w:t>
      </w:r>
    </w:p>
    <w:p>
      <w:pPr>
        <w:spacing w:after="160" w:line="240" w:lineRule="auto"/>
        <w:ind w:firstLine="720"/>
      </w:pPr>
      <w:r>
        <w:rPr>
          <w:rFonts w:ascii="Times New Roman" w:hAnsi="Times New Roman" w:eastAsia="Times New Roman"/>
          <w:b w:val="0"/>
          <w:i w:val="0"/>
          <w:sz w:val="24"/>
        </w:rPr>
        <w:t>Let \(Y_t\) be the hospital count in month \(t\). Model 1 is a negative-binomial regression [10]:</w:t>
      </w:r>
    </w:p>
    <w:p>
      <w:pPr>
        <w:spacing w:after="160" w:line="240" w:lineRule="auto"/>
        <w:ind w:firstLine="0"/>
      </w:pPr>
      <w:r>
        <w:rPr>
          <w:rFonts w:ascii="Times New Roman" w:hAnsi="Times New Roman" w:eastAsia="Times New Roman"/>
          <w:b w:val="0"/>
          <w:i/>
          <w:sz w:val="22"/>
        </w:rPr>
        <w:t>log E(Y_t) = log(d_t) + alpha + beta X_t + calendar-month indicators + s(t; 4 df).</w:t>
      </w:r>
    </w:p>
    <w:p>
      <w:pPr>
        <w:spacing w:after="160" w:line="240" w:lineRule="auto"/>
        <w:ind w:firstLine="720"/>
      </w:pPr>
      <w:r>
        <w:rPr>
          <w:rFonts w:ascii="Times New Roman" w:hAnsi="Times New Roman" w:eastAsia="Times New Roman"/>
          <w:b w:val="0"/>
          <w:i w:val="0"/>
          <w:sz w:val="24"/>
        </w:rPr>
        <w:t>Here \(d_t\) is the number of days in month \(t\); \(\alpha\) is the intercept; \(X_t\) is one weather variable; \(\beta\) is the coefficient for that weather variable; \(I(\mathrm{month}_t = m)\) is 1 if month \(t\) is calendar month \(m\) and 0 otherwise (January is the reference month); \(\gamma_m\) is how much higher or lower month \(m\) is than January; and \(s(t; 4~\mathrm{df})\) is a smooth curve of time with four degrees of freedom, used to capture slow change over the eleven years. In words, the left side is the log of the expected hospital count. The estimate we report is \(\mathrm{e}^{\beta}\), the ratio of expected monthly counts for a 1 °C change in a temperature variable or a five-day change in an official day count.</w:t>
      </w:r>
    </w:p>
    <w:p>
      <w:pPr>
        <w:spacing w:after="160" w:line="240" w:lineRule="auto"/>
        <w:ind w:firstLine="720"/>
      </w:pPr>
      <w:r>
        <w:rPr>
          <w:rFonts w:ascii="Times New Roman" w:hAnsi="Times New Roman" w:eastAsia="Times New Roman"/>
          <w:b w:val="0"/>
          <w:i w:val="0"/>
          <w:sz w:val="24"/>
        </w:rPr>
        <w:t>We fitted Model 1 twelve times: six weather variables × two diagnoses. The six weather variables are mean temperature, mean maximum temperature, mean minimum temperature, hot nights, very hot days, and cold days. We used a negative-binomial model because monthly counts varied more than a Poisson model allows. A quasi-Poisson model is a sensitivity.</w:t>
      </w:r>
    </w:p>
    <w:p>
      <w:pPr>
        <w:spacing w:after="160" w:line="240" w:lineRule="auto"/>
        <w:ind w:firstLine="720"/>
      </w:pPr>
      <w:r>
        <w:rPr>
          <w:rFonts w:ascii="Times New Roman" w:hAnsi="Times New Roman" w:eastAsia="Times New Roman"/>
          <w:b w:val="0"/>
          <w:i w:val="0"/>
          <w:sz w:val="24"/>
        </w:rPr>
        <w:t>We report Newey–West standard errors with a lag of 6 months [19], together with model-based, HC1, and Newey–West lag-3 intervals. Monthly hospital counts can be correlated from one month to the next; Newey–West intervals allow for that.</w:t>
      </w:r>
    </w:p>
    <w:p>
      <w:pPr>
        <w:spacing w:after="160" w:line="240" w:lineRule="auto"/>
        <w:ind w:firstLine="720"/>
      </w:pPr>
      <w:r>
        <w:rPr>
          <w:rFonts w:ascii="Times New Roman" w:hAnsi="Times New Roman" w:eastAsia="Times New Roman"/>
          <w:b w:val="0"/>
          <w:i w:val="0"/>
          <w:sz w:val="24"/>
        </w:rPr>
        <w:t>Model 2 adds monthly total rainfall and monthly mean relative humidity to Model 1. Goggins and Chan included humidity among meteorological predictors of daily heart-failure admissions in Hong Kong [21]. Table 2 reports Model 1.</w:t>
      </w:r>
    </w:p>
    <w:p>
      <w:pPr>
        <w:spacing w:after="160" w:line="240" w:lineRule="auto"/>
        <w:ind w:firstLine="720"/>
      </w:pPr>
      <w:r>
        <w:rPr>
          <w:rFonts w:ascii="Times New Roman" w:hAnsi="Times New Roman" w:eastAsia="Times New Roman"/>
          <w:b w:val="0"/>
          <w:i w:val="0"/>
          <w:sz w:val="24"/>
        </w:rPr>
        <w:t>Model 3 uses the same twelve fits as Model 1, but replaces official hot-night, very-hot-day, and cold-day counts with days warmer than the historical same-date mean and days cooler than that mean, also scaled per five days. Table 2 reports Model 1.</w:t>
      </w:r>
    </w:p>
    <w:p>
      <w:pPr>
        <w:spacing w:after="120" w:line="240" w:lineRule="auto"/>
        <w:ind w:firstLine="0"/>
      </w:pPr>
      <w:r>
        <w:rPr>
          <w:rFonts w:ascii="Times New Roman" w:hAnsi="Times New Roman" w:eastAsia="Times New Roman"/>
          <w:b/>
          <w:i w:val="0"/>
          <w:sz w:val="24"/>
        </w:rPr>
        <w:t>Sensitivity analysis</w:t>
      </w:r>
    </w:p>
    <w:p>
      <w:pPr>
        <w:spacing w:after="160" w:line="240" w:lineRule="auto"/>
        <w:ind w:firstLine="720"/>
      </w:pPr>
      <w:r>
        <w:rPr>
          <w:rFonts w:ascii="Times New Roman" w:hAnsi="Times New Roman" w:eastAsia="Times New Roman"/>
          <w:b w:val="0"/>
          <w:i w:val="0"/>
          <w:sz w:val="24"/>
        </w:rPr>
        <w:t>Official day-count estimates from Model 1 can also be read per 3 days or per 1 day without fitting a new model. If the count ratio per five days is *R*, the count ratio per three days is *R*^(3/5) and the count ratio per one day is *R*^(1/5). Those are the same coefficient on a different scale. Cold-day models restricted to November–March are a labelled sensitivity. Other checks were: a smoother time curve (3, 6, or 8 degrees of freedom); year indicators instead of the time curve; dropping the first 12 or 24 months; using only January 2013–December 2019 (84 months); adding COVID-period indicators; lagging the weather variable by 0, 1, or 2 months; and dropping the month with the largest Cook’s distance. COVID periods were: through January 2020; February 2020–December 2021; January–April 2022; May–December 2022; and from January 2023. We inspected residual correlation at lags 6 and 12. We computed Benjamini–Hochberg *q*-values across the twelve Model 1 fits [20]. Models that added pollution or influenza are extra checks. They are not replacements for Model 1.</w:t>
      </w:r>
    </w:p>
    <w:p>
      <w:pPr>
        <w:spacing w:after="160" w:line="240" w:lineRule="auto"/>
        <w:ind w:firstLine="720"/>
      </w:pPr>
      <w:r>
        <w:rPr>
          <w:rFonts w:ascii="Times New Roman" w:hAnsi="Times New Roman" w:eastAsia="Times New Roman"/>
          <w:b w:val="0"/>
          <w:i w:val="0"/>
          <w:sz w:val="24"/>
        </w:rPr>
        <w:t>We did not apply a published method for recovering daily weather effects from monthly totals [15,16] to the hospital counts. A full daily lag model cannot be identified from 132 monthly totals.</w:t>
      </w:r>
    </w:p>
    <w:p>
      <w:pPr>
        <w:spacing w:after="160" w:line="240" w:lineRule="auto"/>
        <w:ind w:firstLine="720"/>
      </w:pPr>
      <w:r>
        <w:rPr>
          <w:rFonts w:ascii="Times New Roman" w:hAnsi="Times New Roman" w:eastAsia="Times New Roman"/>
          <w:b w:val="0"/>
          <w:i w:val="0"/>
          <w:sz w:val="24"/>
        </w:rPr>
        <w:t>Analyses were run in R 4.3.3. Negative-binomial models used `MASS::glm.nb`. Newey–West and HC1 standard errors used `sandwich`. The time curve used `splines::ns`.</w:t>
      </w:r>
    </w:p>
    <w:p>
      <w:pPr>
        <w:spacing w:after="160" w:line="240" w:lineRule="auto"/>
        <w:ind w:firstLine="720"/>
      </w:pPr>
      <w:r>
        <w:rPr>
          <w:rFonts w:ascii="Times New Roman" w:hAnsi="Times New Roman" w:eastAsia="Times New Roman"/>
          <w:b w:val="0"/>
          <w:i w:val="0"/>
          <w:sz w:val="24"/>
        </w:rPr>
        <w:t>This study was approved by the Institutional Review Board of the University of Hong Kong / Hospital Authority Hong Kong West Cluster.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