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now records more hot nights and very hot days than a decade ago, while cold days continue. Local daily studies of cardiac admissions emphasised cold. Whether that pattern describes contemporary monthly first-hospitalisation counts among people with diabetes or hypertension is a different question.</w:t>
      </w:r>
    </w:p>
    <w:p>
      <w:pPr>
        <w:pStyle w:val="BodyText"/>
      </w:pPr>
      <w:r>
        <w:rPr>
          <w:bCs/>
          <w:b/>
        </w:rPr>
        <w:t xml:space="preserve">Methods.</w:t>
      </w:r>
      <w:r>
        <w:t xml:space="preserve"> </w:t>
      </w:r>
      <w:r>
        <w:t xml:space="preserve">We analysed 132 territory-months (January 2013–December 2023) of governed counts of the first recorded hospitalisation after a first coronary heart disease (CHD) or heart failure (HF) diagnosis among people diagnosed with type 2 diabetes and/or hypertension (156,156 CHD events; 29,681 HF events). Admission cause was not recorded. Exposures were monthly mean temperature, mean daily maximum and minimum temperature, and official extreme-day counts (hot nights, very hot days, cold days). Separate negative-binomial models included calendar-month indicators and a natural cubic spline of time (4 df), with a days-in-month offset. Uncertainty was reported as a Model / HC1 / Newey–West lag-3 / Newey–West lag-6 ladder. Benjamini–Hochberg</w:t>
      </w:r>
      <w:r>
        <w:t xml:space="preserve"> </w:t>
      </w:r>
      <w:r>
        <w:rPr>
          <w:iCs/>
          <w:i/>
        </w:rPr>
        <w:t xml:space="preserve">q</w:t>
      </w:r>
      <w:r>
        <w:t xml:space="preserve">-values covered the twelve core contrasts. The model set was specified after the outcome series were available and is exploratory. A method that attempts to recover daily exposure coefficients from monthly sums was tested in simulation and not applied to the health series.</w:t>
      </w:r>
    </w:p>
    <w:p>
      <w:pPr>
        <w:pStyle w:val="BodyText"/>
      </w:pPr>
      <w:r>
        <w:rPr>
          <w:bCs/>
          <w:b/>
        </w:rPr>
        <w:t xml:space="preserve">Results.</w:t>
      </w:r>
      <w:r>
        <w:t xml:space="preserve"> </w:t>
      </w:r>
      <w:r>
        <w:t xml:space="preserve">Continuity Newey–West lag-6 count ratios included CHD hot nights per five days 1.022 (1.002–1.042) and HF cold days per five days 1.073 (1.006–1.144); both had</w:t>
      </w:r>
      <w:r>
        <w:t xml:space="preserve"> </w:t>
      </w:r>
      <w:r>
        <w:rPr>
          <w:iCs/>
          <w:i/>
        </w:rPr>
        <w:t xml:space="preserve">q</w:t>
      </w:r>
      <w:r>
        <w:t xml:space="preserve"> </w:t>
      </w:r>
      <w:r>
        <w:t xml:space="preserve">= 0.192. All twelve core</w:t>
      </w:r>
      <w:r>
        <w:t xml:space="preserve"> </w:t>
      </w:r>
      <w:r>
        <w:rPr>
          <w:iCs/>
          <w:i/>
        </w:rPr>
        <w:t xml:space="preserve">q</w:t>
      </w:r>
      <w:r>
        <w:t xml:space="preserve">-values exceeded 0.19. For CHD hot nights, Model and HC1 intervals included 1; Newey–West intervals excluded 1 on the unrounded scale. For HF cold days, all four interval constructions excluded 1. Official cold days fell almost entirely in December–February (141 of 145 days). CHD Pearson residual autocorrelation at lag 1 was 0.508; HF 0.146.</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unprotected by</w:t>
      </w:r>
      <w:r>
        <w:t xml:space="preserve"> </w:t>
      </w:r>
      <w:r>
        <w:rPr>
          <w:iCs/>
          <w:i/>
        </w:rPr>
        <w:t xml:space="preserve">q</w:t>
      </w:r>
      <w:r>
        <w:t xml:space="preserve">-values. The CHD hot-night association is sensitive to how uncertainty is computed. Estimates are ecological monthly count ratios under a first-event construction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[9,10]. Hong Kong is a dense, ageing city in which hot nights and very hot days have become more frequent while cold days have not disappeared [2,4]. At the Hong Kong Observatory (HKO), hot nights increased from 10 in 2013 to 61 in 2021, and very hot days from 17 to 54 in the same selected-year comparison [2,4]. Cold days continued to occur (14 in 2013, 13 in 2021, and 14 in 2023). Contemporary analysis therefore has to keep heat and cold in view together.</w:t>
      </w:r>
    </w:p>
    <w:p>
      <w:pPr>
        <w:pStyle w:val="BodyText"/>
      </w:pPr>
      <w:r>
        <w:t xml:space="preserve">Earlier Hong Kong evidence on cardiac admissions was daily, diagnosis-specific, and drawn from earlier decades. Using data from 2000–2009, Goggins et al. reported that a 1 °C decrease below an estimated 24 °C threshold was associated with a 3.7% increase in acute myocardial infarction (AMI) admissions, while no statistically significant heat association was observed in Hong Kong, Taipei, or Kaohsiung [1]. The same study identified same-day nitrogen dioxide as an important predictor. A related analysis of public-hospital stroke admissions during 1999–2006 found an inverse association of haemorrhagic stroke with temperature and a weaker ischaemic-stroke association below about 22 °C [11]. For heart failure, Goggins and Chan analysed daily public-hospital admissions and deaths during 2002–2011 and reported a cumulative relative risk of 2.63 (2.43–2.84) for admissions comparing 11 °C with 25 °C over lags extending to 23 days [21]. Those studies establish the local historical pattern. They do not estimate monthly first-hospitalisation counts under a later data contract, and their coefficients are not transferable to that contract.</w:t>
      </w:r>
    </w:p>
    <w:p>
      <w:pPr>
        <w:pStyle w:val="BodyText"/>
      </w:pPr>
      <w:r>
        <w:t xml:space="preserve">Nighttime heat has since been studied with more than one metric.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[17]. An hourly excess-heat metric for 20:00–07:59, and an intensity-based binary derived from it, were associated with higher hospitalisation, including a 3.1% (1.5–4.8%) increase at extreme excess heat [17]. Official monthly counts of hot nights are therefore a coarser encoding than nighttime intensity. They remain an interpretable public climatological series. They are not a test of Guo et al.’s hourly metric, and Guo et al. did not study first CHD or HF hospitalisation in a diabetes or hypertension cohort.</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fine particulate matter (PM2.5) from 30.8 to 14.6 µg m</w:t>
      </w:r>
      <w:r>
        <w:rPr>
          <w:vertAlign w:val="superscript"/>
        </w:rPr>
        <w:t xml:space="preserve">−3</w:t>
      </w:r>
      <w:r>
        <w:t xml:space="preserve">, and ozone rose from 42.6 to 58.3 µg m</w:t>
      </w:r>
      <w:r>
        <w:rPr>
          <w:vertAlign w:val="superscript"/>
        </w:rPr>
        <w:t xml:space="preserve">−3</w:t>
      </w:r>
      <w:r>
        <w:t xml:space="preserve"> </w:t>
      </w:r>
      <w:r>
        <w:t xml:space="preserve">[7]. Temperature and pollutants are not interchangeable covariates. Ozone in particular may confound or lie on the pathway of hot, sunny conditions, so pollution adjustment, when used, is staged rather than screened for attenuation.</w:t>
      </w:r>
    </w:p>
    <w:p>
      <w:pPr>
        <w:pStyle w:val="BodyText"/>
      </w:pPr>
      <w:r>
        <w:t xml:space="preserve">Daily mortality studies in Hong Kong answer a further, distinct question. Liu et al. (2020) reported a cold-dominant attributable fraction for cause-specific mortality during 2006–2016 (cold 4.72% versus heat 0.16%), with moderate non-optimum temperatures accounting for more burden than extremes [12]. Liu et al. (2026) estimated model-based excess heat deaths under several local heatwave definitions for 2014–2023 [13]. Attributable fractions and modelled excess deaths are not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keeping heat and cold in parallel and reporting definition and uncertainty discordance rather than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Continuity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Official cold days were concentrated in December–February (141 of 145 days across 2013–2023; four days fell in March). With calendar-month indicators in the model, remaining cold-day variation is between-year differences within winter months. A winter-only restriction is a labelled sensitivity, not a remedy for that identification. Extremely hot days, relative humidity, rainfall, and sulfur dioxide were assembled with the weather series but were not entered in the twelve-contrast continuity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continuity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continuity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Continuity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Continuity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continuity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Continuity intervals used Newey–West standard errors with lag 6 [19], reported together with model-based, HC1, and Newey–West lag-3 intervals. Lag 6 was the continuity reporting choice because residual serial dependence is expected in monthly counts and is material for CHD.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continuity contrasts [20].</w:t>
      </w:r>
    </w:p>
    <w:p>
      <w:pPr>
        <w:pStyle w:val="BodyText"/>
      </w:pPr>
      <w:r>
        <w:t xml:space="preserve">Archive models that entered pollution, humidity, or influenza are not adjusted versions of the separate continuity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A 500-replicate calibration against Hong Kong weather failed those requirements. A subsequent worst-cell re-summary of the same fits did not reverse that decision. No daily health coefficient was produced. This is a project-specific calibration result. It does not show that the Basagaña–Ballester method fails in general.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46" w:name="results"/>
    <w:p>
      <w:pPr>
        <w:pStyle w:val="Heading2"/>
      </w:pPr>
      <w:r>
        <w:t xml:space="preserve">Results</w:t>
      </w:r>
    </w:p>
    <w:bookmarkStart w:id="35"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Over the same years the interpolated Census and Statistics Department population aged 35 years or older rose by 17%. Figure 1 indexes those series to 2013. The decline in first-event counts is compatible with risk-set depletion in a 2013–2023 diagnosis window, together with pandemic changes in care-seeking. It is not a measure of falling incidence in the territory, and it does not quantify the share of depletion without monthly still-at-risk person-time.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p>
      <w:pPr>
        <w:pStyle w:val="BodyText"/>
      </w:pPr>
      <w:r>
        <w:rPr>
          <w:bCs/>
          <w:b/>
        </w:rPr>
        <w:t xml:space="preserve">Figure 1. First-event counts fell while the general population aged 35+ rose.</w:t>
      </w:r>
      <w:r>
        <w:t xml:space="preserve"> </w:t>
      </w:r>
      <w:r>
        <w:t xml:space="preserve">Index = 1 in 2013. CHD 23,830 → 12,323; HF 4,336 → 2,296. Provenance: HA_APPROVED_AGGREGATE annual totals; REAL C&amp;SD mid-year population aged 35+.</w:t>
      </w:r>
    </w:p>
    <w:p>
      <w:pPr>
        <w:pStyle w:val="CaptionedFigure"/>
      </w:pPr>
      <w:r>
        <w:drawing>
          <wp:inline>
            <wp:extent cx="5334000" cy="5467350"/>
            <wp:effectExtent b="0" l="0" r="0" t="0"/>
            <wp:docPr descr="Figure 1" title="" id="33" name="Picture"/>
            <a:graphic>
              <a:graphicData uri="http://schemas.openxmlformats.org/drawingml/2006/picture">
                <pic:pic>
                  <pic:nvPicPr>
                    <pic:cNvPr descr="../../figures/live_identification/figure_B_first_event_depletion.png" id="34" name="Picture"/>
                    <pic:cNvPicPr>
                      <a:picLocks noChangeArrowheads="1" noChangeAspect="1"/>
                    </pic:cNvPicPr>
                  </pic:nvPicPr>
                  <pic:blipFill>
                    <a:blip r:embed="rId32"/>
                    <a:stretch>
                      <a:fillRect/>
                    </a:stretch>
                  </pic:blipFill>
                  <pic:spPr bwMode="auto">
                    <a:xfrm>
                      <a:off x="0" y="0"/>
                      <a:ext cx="5334000" cy="5467350"/>
                    </a:xfrm>
                    <a:prstGeom prst="rect">
                      <a:avLst/>
                    </a:prstGeom>
                    <a:noFill/>
                    <a:ln w="9525">
                      <a:noFill/>
                      <a:headEnd/>
                      <a:tailEnd/>
                    </a:ln>
                  </pic:spPr>
                </pic:pic>
              </a:graphicData>
            </a:graphic>
          </wp:inline>
        </w:drawing>
      </w:r>
    </w:p>
    <w:p>
      <w:pPr>
        <w:pStyle w:val="ImageCaption"/>
      </w:pPr>
      <w:r>
        <w:t xml:space="preserve">Figure 1</w:t>
      </w:r>
    </w:p>
    <w:bookmarkEnd w:id="35"/>
    <w:bookmarkStart w:id="39" w:name="exposure-context"/>
    <w:p>
      <w:pPr>
        <w:pStyle w:val="Heading3"/>
      </w:pPr>
      <w:r>
        <w:t xml:space="preserve">Exposure context</w:t>
      </w:r>
    </w:p>
    <w:p>
      <w:pPr>
        <w:pStyle w:val="FirstParagraph"/>
      </w:pPr>
      <w:r>
        <w:t xml:space="preserve">At HKO Headquarters, hot nights rose from 10 in 2013 to 61 in 2021 and 56 in 2023. The 2021 total was the highest annual number of hot nights in the Observatory record through the study window. Very hot days rose from 17 to 54 over the same 2013–2021 comparison and were 54 in 2023. Cold days were 14 in 2013 and 14 in 2023 (1 in 2019; 13 in 2021). These are exposure counts, not health effects. Figure 2 shows official cold days by year and month. Of 145 cold days in 2013–2023, 141 fell in December–February (December 40, January 54, February 47) and 4 fell in March. The year 2019 contributed a single cold day. After calendar-month indicators, remaining cold-day variation is between-year winter, not a summer-versus-winter contrast.</w:t>
      </w:r>
    </w:p>
    <w:p>
      <w:pPr>
        <w:pStyle w:val="BodyText"/>
      </w:pPr>
      <w:r>
        <w:rPr>
          <w:bCs/>
          <w:b/>
        </w:rPr>
        <w:t xml:space="preserve">Figure 2. Official cold days by year and month, Hong Kong Observatory Headquarters, 2013–2023.</w:t>
      </w:r>
      <w:r>
        <w:t xml:space="preserve"> </w:t>
      </w:r>
      <w:r>
        <w:t xml:space="preserve">Provenance: REAL HKO official flags (Tmin ≤ 12 °C) rolled to calendar months.</w:t>
      </w:r>
    </w:p>
    <w:p>
      <w:pPr>
        <w:pStyle w:val="CaptionedFigure"/>
      </w:pPr>
      <w:r>
        <w:drawing>
          <wp:inline>
            <wp:extent cx="5334000" cy="3867150"/>
            <wp:effectExtent b="0" l="0" r="0" t="0"/>
            <wp:docPr descr="Figure 2" title="" id="37" name="Picture"/>
            <a:graphic>
              <a:graphicData uri="http://schemas.openxmlformats.org/drawingml/2006/picture">
                <pic:pic>
                  <pic:nvPicPr>
                    <pic:cNvPr descr="../../figures/live_identification/figure_A_cold_day_identification.png" id="38" name="Picture"/>
                    <pic:cNvPicPr>
                      <a:picLocks noChangeArrowheads="1" noChangeAspect="1"/>
                    </pic:cNvPicPr>
                  </pic:nvPicPr>
                  <pic:blipFill>
                    <a:blip r:embed="rId36"/>
                    <a:stretch>
                      <a:fillRect/>
                    </a:stretch>
                  </pic:blipFill>
                  <pic:spPr bwMode="auto">
                    <a:xfrm>
                      <a:off x="0" y="0"/>
                      <a:ext cx="5334000" cy="3867150"/>
                    </a:xfrm>
                    <a:prstGeom prst="rect">
                      <a:avLst/>
                    </a:prstGeom>
                    <a:noFill/>
                    <a:ln w="9525">
                      <a:noFill/>
                      <a:headEnd/>
                      <a:tailEnd/>
                    </a:ln>
                  </pic:spPr>
                </pic:pic>
              </a:graphicData>
            </a:graphic>
          </wp:inline>
        </w:drawing>
      </w:r>
    </w:p>
    <w:p>
      <w:pPr>
        <w:pStyle w:val="ImageCaption"/>
      </w:pPr>
      <w:r>
        <w:t xml:space="preserve">Figure 2</w:t>
      </w:r>
    </w:p>
    <w:bookmarkEnd w:id="39"/>
    <w:bookmarkStart w:id="40" w:name="continuity-panel"/>
    <w:p>
      <w:pPr>
        <w:pStyle w:val="Heading3"/>
      </w:pPr>
      <w:r>
        <w:t xml:space="preserve">Continuity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and it is not a test of hourly nighttime excess heat [17]. For HF, continuous temperature associations were weakly inverse and the cold-day count association was positive.</w:t>
      </w:r>
    </w:p>
    <w:bookmarkEnd w:id="40"/>
    <w:bookmarkStart w:id="41"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41"/>
    <w:bookmarkStart w:id="45"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continuity models and 0.13–0.18 for HF. For the two leading contrasts it was 0.508 (CHD hot nights) and 0.146 (HF cold days) (Figure 3).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 It is why Newey–West intervals are shown rather than model-based intervals alone.</w:t>
      </w:r>
    </w:p>
    <w:p>
      <w:pPr>
        <w:pStyle w:val="BodyText"/>
      </w:pPr>
      <w:r>
        <w:rPr>
          <w:bCs/>
          <w:b/>
        </w:rPr>
        <w:t xml:space="preserve">Figure 3. Residual autocorrelation after month and trend.</w:t>
      </w:r>
      <w:r>
        <w:t xml:space="preserve"> </w:t>
      </w:r>
      <w:r>
        <w:t xml:space="preserve">Lag-1 autocorrelation is 0.508 for the CHD hot-night model and 0.146 for the HF cold-day model. Dashed lines are ±1.96/√132. Provenance: REAL residuals from already-fitted continuity models.</w:t>
      </w:r>
    </w:p>
    <w:p>
      <w:pPr>
        <w:pStyle w:val="CaptionedFigure"/>
      </w:pPr>
      <w:r>
        <w:drawing>
          <wp:inline>
            <wp:extent cx="5334000" cy="3600450"/>
            <wp:effectExtent b="0" l="0" r="0" t="0"/>
            <wp:docPr descr="Figure 3" title="" id="43" name="Picture"/>
            <a:graphic>
              <a:graphicData uri="http://schemas.openxmlformats.org/drawingml/2006/picture">
                <pic:pic>
                  <pic:nvPicPr>
                    <pic:cNvPr descr="../../figures/live_identification/figure_C_residual_acf.png" id="44" name="Picture"/>
                    <pic:cNvPicPr>
                      <a:picLocks noChangeArrowheads="1" noChangeAspect="1"/>
                    </pic:cNvPicPr>
                  </pic:nvPicPr>
                  <pic:blipFill>
                    <a:blip r:embed="rId42"/>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Offset choice changed continuity count ratios only trivially. Across trend and early-period specifications, the CHD hot-night ratio ranged from 1.011 to 1.025 and the HF cold-day ratio from 1.043 to 1.113. The HF cold-day association was stronger before 2020 (1.113, 1.053–1.176).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 That refusal is specific to this monthly series and this implementation.</w:t>
      </w:r>
    </w:p>
    <w:bookmarkEnd w:id="45"/>
    <w:bookmarkEnd w:id="46"/>
    <w:bookmarkStart w:id="47" w:name="discussion"/>
    <w:p>
      <w:pPr>
        <w:pStyle w:val="Heading2"/>
      </w:pPr>
      <w:r>
        <w:t xml:space="preserve">Discussion</w:t>
      </w:r>
    </w:p>
    <w:p>
      <w:pPr>
        <w:pStyle w:val="FirstParagraph"/>
      </w:pPr>
      <w:r>
        <w:t xml:space="preserve">The current data do not support a protected differential thermal claim for CHD versus HF. Under continuity Newey–West lag-6 reporting, CHD first-hospitalisation counts were more closely associated with official hot-night burden than with mean temperature or cold days, and HF counts were more closely associated with cold-day burden than with hot nights. Those patterns sit inside multiplicity adjustment that leaves all twelve</w:t>
      </w:r>
      <w:r>
        <w:t xml:space="preserve"> </w:t>
      </w:r>
      <w:r>
        <w:rPr>
          <w:iCs/>
          <w:i/>
        </w:rPr>
        <w:t xml:space="preserve">q</w:t>
      </w:r>
      <w:r>
        <w:t xml:space="preserve">-values above 0.19. The HF cold-day association is the more coherent residual signal: it is concordant across standard-error methods, survives exclusion of the most influential pandemic month, and is not an artefact of entering correlated heat metrics jointly. It remains</w:t>
      </w:r>
      <w:r>
        <w:t xml:space="preserve"> </w:t>
      </w:r>
      <w:r>
        <w:rPr>
          <w:iCs/>
          <w:i/>
        </w:rPr>
        <w:t xml:space="preserve">q</w:t>
      </w:r>
      <w:r>
        <w:t xml:space="preserve">-unprotected. Because official cold days fall almost entirely in December–February, that residual is a between-year winter contrast, not a summer-versus-winter contrast. The CHD hot-night association is smaller and depends on the uncertainty method. CHD residual autocorrelation at lag 1 is about 0.51, so model-based intervals are too narrow for that series.</w:t>
      </w:r>
    </w:p>
    <w:p>
      <w:pPr>
        <w:pStyle w:val="BodyText"/>
      </w:pPr>
      <w:r>
        <w:t xml:space="preserve">Directionally, the HF cold-day residual is consistent with earlier daily evidence that lower mean temperature was associated with higher HF admissions in Hong Kong [21]. The comparison is of questions, not of magnitudes: a cumulative daily relative risk comparing 11 °C with 25 °C is not a monthly count ratio per five official cold days, and the present event is first hospitalisation after first HF diagnosis without recorded admission cause. The CHD hot-night residual should likewise be read against Guo et al., not as a replication of it [17]. Guo et al. found no overall association for the official hot-night flag with daily emergency hospitalisation after mean-temperature adjustment, and a positive association for hourly nighttime excess heat [17]. The present analysis uses monthly official counts, a first-event CHD series, and a different decade. A difference between monthly mean temperature and monthly official hot-night counts does not identify an intensity mechanism, and sleep, blood pressure, and personal exposure were not measured.</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result is project-specific. It does not show that recovery of daily effects from aggregated outcomes fails in general.</w:t>
      </w:r>
    </w:p>
    <w:p>
      <w:pPr>
        <w:pStyle w:val="BodyText"/>
      </w:pPr>
      <w:r>
        <w:t xml:space="preserve">Pollution and influenza are scientifically motivated in this setting [1,18]. Archive models in which they enter are not continuity-adjusted thermal estimates. On the 121 months with influenza data, an archive model that entered a flu indicator associated influenza with higher CHD counts (1.673, 1.249–2.243). That coefficient is not an adjusted version of Table 2. Confounding by infection, ozone, or nitrogen dioxide is therefore not resolved. Absent cohort person-time, even a stable count ratio remains a count ratio [14].</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do not leave substantial CHD serial correlation unaddressed. This release does not meet that bar. We report the complete panel and the refusals.</w:t>
      </w:r>
    </w:p>
    <w:bookmarkEnd w:id="47"/>
    <w:bookmarkStart w:id="48" w:name="conclusion"/>
    <w:p>
      <w:pPr>
        <w:pStyle w:val="Heading2"/>
      </w:pPr>
      <w:r>
        <w:t xml:space="preserve">Conclusion</w:t>
      </w:r>
    </w:p>
    <w:p>
      <w:pPr>
        <w:pStyle w:val="FirstParagraph"/>
      </w:pPr>
      <w:r>
        <w:t xml:space="preserve">Between 2013 and 2023, Hong Kong experienced a large increase in hot nights while cold days persisted. In governed monthly data for people with diabetes and/or hypertension, CHD first-hospitalisation counts were most elevated in relation to hot nights, and HF counts in relation to cold days. Neither pattern survived correction across twelve comparisons, and the CHD result was sensitive to the treatment of uncertainty. The study therefore offers hypotheses and an aggregation-aware reporting standard, not proof of thermal effects on disease-caused admission.</w:t>
      </w:r>
    </w:p>
    <w:bookmarkEnd w:id="48"/>
    <w:bookmarkStart w:id="49" w:name="strengths-and-limitations"/>
    <w:p>
      <w:pPr>
        <w:pStyle w:val="Heading2"/>
      </w:pPr>
      <w:r>
        <w:t xml:space="preserve">Strengths and limitations</w:t>
      </w:r>
    </w:p>
    <w:p>
      <w:pPr>
        <w:pStyle w:val="FirstParagraph"/>
      </w:pPr>
      <w:r>
        <w:t xml:space="preserve">Strengths include a complete twelve-contrast panel, an explicit standard-error ladder, source-documented official extreme-day thresholds, identification displays for cold-day support and first-event depletion, and a refused daily-recovery analysis.</w:t>
      </w:r>
    </w:p>
    <w:p>
      <w:pPr>
        <w:pStyle w:val="BodyText"/>
      </w:pPr>
      <w:r>
        <w:t xml:space="preserve">Limitations. Admission cause was not recorded. Inpatient-only semantics remain unconfirmed. Cohort person-time still at risk of a first event was unavailable. The analysis is ecological and monthly [14]. Age, sex, and subtype strata were not delivered. CHD residual serial correlation remains material. Official cold-day counts are winter-concentrated, so the HF cold-day residual is identified from between-year winter differences. Official hot-night counts are not hourly nighttime excess heat [17]. Weather hot-month and cold-month reference rules remain unlocked. Pollution, humidity, and influenza confounding is unresolved in the continuity panel. External dissemination of the governed aggregates still requires confirmation from the outcome and supervising investigators.</w:t>
      </w:r>
    </w:p>
    <w:bookmarkEnd w:id="49"/>
    <w:bookmarkStart w:id="50"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50"/>
    <w:bookmarkStart w:id="51" w:name="declaration-of-competing-interest"/>
    <w:p>
      <w:pPr>
        <w:pStyle w:val="Heading2"/>
      </w:pPr>
      <w:r>
        <w:t xml:space="preserve">Declaration of competing interest</w:t>
      </w:r>
    </w:p>
    <w:p>
      <w:pPr>
        <w:pStyle w:val="FirstParagraph"/>
      </w:pPr>
      <w:r>
        <w:t xml:space="preserve">The authors declare no competing interests.</w:t>
      </w:r>
    </w:p>
    <w:bookmarkEnd w:id="51"/>
    <w:bookmarkStart w:id="52"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52"/>
    <w:bookmarkStart w:id="53"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53"/>
    <w:bookmarkStart w:id="54"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p>
      <w:pPr>
        <w:numPr>
          <w:ilvl w:val="0"/>
          <w:numId w:val="1001"/>
        </w:numPr>
        <w:pStyle w:val="Compact"/>
      </w:pPr>
      <w:r>
        <w:t xml:space="preserve">Goggins WB, Chan EYY. A study of the short-term associations between hospital admissions and mortality from heart failure and meteorological variables in Hong Kong.</w:t>
      </w:r>
      <w:r>
        <w:t xml:space="preserve"> </w:t>
      </w:r>
      <w:r>
        <w:rPr>
          <w:iCs/>
          <w:i/>
        </w:rPr>
        <w:t xml:space="preserve">Int J Cardiol</w:t>
      </w:r>
      <w:r>
        <w:t xml:space="preserve">. 2017;228:537-542. doi:10.1016/j.ijcard.2016.11.106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2026-08-12T23:38:50Z</dcterms:created>
  <dcterms:modified xsi:type="dcterms:W3CDTF">2026-08-12T23:38:50Z</dcterms:modified>
</cp:coreProperties>
</file>

<file path=docProps/custom.xml><?xml version="1.0" encoding="utf-8"?>
<Properties xmlns="http://schemas.openxmlformats.org/officeDocument/2006/custom-properties" xmlns:vt="http://schemas.openxmlformats.org/officeDocument/2006/docPropsVTypes"/>
</file>