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before="0" w:line="240" w:lineRule="auto"/>
        <w:ind w:firstLine="0"/>
        <w:jc w:val="center"/>
      </w:pPr>
      <w:r>
        <w:rPr>
          <w:rFonts w:ascii="Times New Roman" w:hAnsi="Times New Roman" w:eastAsia="Times New Roman"/>
          <w:b/>
          <w:i w:val="0"/>
          <w:sz w:val="32"/>
        </w:rPr>
        <w:t>Window dependence of first coronary and heart-failure hospitalisations among people with diabetes or hypertension in Hong Kong, 2013–2023</w:t>
      </w:r>
    </w:p>
    <w:p>
      <w:pPr>
        <w:spacing w:after="160" w:before="0" w:line="240" w:lineRule="auto"/>
        <w:ind w:firstLine="0"/>
        <w:jc w:val="center"/>
      </w:pPr>
      <w:r>
        <w:rPr>
          <w:rFonts w:ascii="Times New Roman" w:hAnsi="Times New Roman" w:eastAsia="Times New Roman"/>
          <w:b w:val="0"/>
          <w:i/>
          <w:sz w:val="22"/>
        </w:rPr>
        <w:t>Running title: Window dependence of first CHD/HF hospitalisation</w:t>
      </w:r>
    </w:p>
    <w:p>
      <w:pPr>
        <w:spacing w:after="160" w:before="0" w:line="240" w:lineRule="auto"/>
        <w:ind w:firstLine="0"/>
        <w:jc w:val="center"/>
      </w:pPr>
      <w:r>
        <w:rPr>
          <w:rFonts w:ascii="Times New Roman" w:hAnsi="Times New Roman" w:eastAsia="Times New Roman"/>
          <w:b w:val="0"/>
          <w:i/>
          <w:sz w:val="21"/>
        </w:rPr>
        <w:t>Candidate article. Confirmatory freeze has not been declared. Estimates are the same parked Model 1 and window checks; the thesis is the analysis window, not a new thermal discovery.</w:t>
      </w:r>
    </w:p>
    <w:p>
      <w:pPr>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keepLines/>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Monthly counts of first coronary and heart-failure hospitalisation in Hong Kong fell by about half between 2013 and 2023, and fell further in 2020. Neighbouring Hong Kong series report fewer public hospitalisations and more cardiovascular deaths in that year. Whether a thermal count ratio estimated on such a window is stable across the window is untested. This paper asks two questions of one extract: what path the first-event counts followed, and whether official thermal extremes are sufficient to account for the dependence of the estimates on the window analysed.</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A nested specification repeats Model 1 on the 84 months from January 2013 to December 2019, which are contained in the full window. Intervals used model-based, HC1, and Newey–West lag-3 and lag-6 constructions. Benjamini–Hochberg </w:t>
      </w:r>
      <w:r>
        <w:rPr>
          <w:rFonts w:ascii="Times New Roman" w:hAnsi="Times New Roman" w:eastAsia="Times New Roman"/>
          <w:b w:val="0"/>
          <w:i/>
          <w:sz w:val="24"/>
        </w:rPr>
        <w:t>q</w:t>
      </w:r>
      <w:r>
        <w:rPr>
          <w:rFonts w:ascii="Times New Roman" w:hAnsi="Times New Roman" w:eastAsia="Times New Roman"/>
          <w:b w:val="0"/>
          <w:i w:val="0"/>
          <w:sz w:val="24"/>
        </w:rPr>
        <w:t>-values were computed across the twelve full-window Model 1 fits.</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with a further dip in 2020 (CHD 10,237; HF 1,964), while the Census and Statistics Department population aged 35 years or older rose by 17%. Under Newey–West lag-6 reporting, the HF cold-day count ratio per five days was 1.113 (1.053–1.176) in the nested 84 months and 1.073 (1.006–1.144) in the full 132. The CHD cold-day ratio excluded 1 only in the nested window (1.036, 1.007–1.067 versus 0.995, 0.949–1.043). The CHD hot-night ratio was compatible with 1 in the nested window (1.011, 0.991–1.032) and was 1.022 (1.002–1.042) in the full window. Both full-window estimates have </w:t>
      </w:r>
      <w:r>
        <w:rPr>
          <w:rFonts w:ascii="Times New Roman" w:hAnsi="Times New Roman" w:eastAsia="Times New Roman"/>
          <w:b w:val="0"/>
          <w:i/>
          <w:sz w:val="24"/>
        </w:rPr>
        <w:t>q</w:t>
      </w:r>
      <w:r>
        <w:rPr>
          <w:rFonts w:ascii="Times New Roman" w:hAnsi="Times New Roman" w:eastAsia="Times New Roman"/>
          <w:b w:val="0"/>
          <w:i w:val="0"/>
          <w:sz w:val="24"/>
        </w:rPr>
        <w:t xml:space="preserve"> = 0.192. All twelve full-window </w:t>
      </w:r>
      <w:r>
        <w:rPr>
          <w:rFonts w:ascii="Times New Roman" w:hAnsi="Times New Roman" w:eastAsia="Times New Roman"/>
          <w:b w:val="0"/>
          <w:i/>
          <w:sz w:val="24"/>
        </w:rPr>
        <w:t>q</w:t>
      </w:r>
      <w:r>
        <w:rPr>
          <w:rFonts w:ascii="Times New Roman" w:hAnsi="Times New Roman" w:eastAsia="Times New Roman"/>
          <w:b w:val="0"/>
          <w:i w:val="0"/>
          <w:sz w:val="24"/>
        </w:rPr>
        <w:t>-values exceeded 0.19. Continuous mean temperature was inverse in the nested window for both outcomes (CHD 0.980, 0.970–0.990; HF 0.945, 0.927–0.963), so official day counts and monthly means are not interchangeable encodings.</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official-day count ratios in this extract depend on the window analysed. Official thermal extremes are insufficient to account for that dependence. They remain part of the exposure record. The decline in first events is not a measure of physiological improvement. Estimates remain ecological monthly count ratios for a first-event outcome without recorded admission cause.</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keepNext/>
        <w:keepLines/>
        <w:spacing w:after="120" w:before="24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The 2013–2023 window in Hong Kong is not a homogeneous decade for a hospital count. It contains a 2020 collapse in public-hospital use and a rebound that did not restore early-decade first-event totals. It also spans a closed diagnosis interval, so the set of people still able to contribute a first event shrinks over time. Any monthly count of first coronary or heart-failure hospitalisation in that window therefore mixes weather, care-seeking, and depletion of the risk set. A thermal coefficient estimated on the whole window inherits that mixture.</w:t>
      </w:r>
    </w:p>
    <w:p>
      <w:pPr>
        <w:keepNext w:val="0"/>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[1]. Wai et al. found fewer emergency-department visits in January–August 2020 than in the same months of 2019, and higher 28-day mortality among those who did attend [2]. A later Wai et al. cohort of non-COVID deaths likewise paired fewer emergency visits with higher 28-day mortality [3]. Hung et al. documented self-reported avoidance of consultation in a public survey [4]. Tam et al. reported longer delays to ST-elevation myocardial infarction care in Hong Kong in early 2020 [5,6]. Those papers are utilisation and delay series. They are not this diabetes-or-hypertension first-event construction, and their counts are not imported into the tables below.</w:t>
      </w:r>
    </w:p>
    <w:p>
      <w:pPr>
        <w:keepNext w:val="0"/>
        <w:spacing w:after="160" w:before="0" w:line="240" w:lineRule="auto"/>
        <w:ind w:firstLine="720"/>
        <w:jc w:val="both"/>
      </w:pPr>
      <w:r>
        <w:rPr>
          <w:rFonts w:ascii="Times New Roman" w:hAnsi="Times New Roman" w:eastAsia="Times New Roman"/>
          <w:b w:val="0"/>
          <w:i w:val="0"/>
          <w:sz w:val="24"/>
        </w:rPr>
        <w:t>Local thermal evidence answers a different question. Using 2000–2009 data, Goggins et al. associated a 1 °C decrease below an estimated 24 °C threshold with a 3.7% increase in acute myocardial infarction admissions, and found no statistically significant heat association in Hong Kong, Taipei, or Kaohsiung [7]. Closest to the present heart-failure outcome, Goggins and Chan analysed daily public-hospital heart-failure admissions and deaths during 2002–2011 and reported a cumulative relative risk of 2.63 (2.43–2.84) for admissions comparing 11 °C with 25 °C over lags to 23 days [8]. Guo et al. analysed daily unplanned emergency hospitalisations in the hot seasons of 2000–2019: after adjustment for multi-day mean temperature, the official hot-night indicator showed no overall association with non-cancer, non-external hospitalisation over lags 0–4 days, while an hourly nighttime excess-heat metric did [9]. Those studies estimate daily risk for cause-coded or unplanned admissions. Their coefficients do not transfer to monthly counts of first hospitalisation after a first CHD or HF diagnosis, and they do not identify why a 2013–2019 count ratio would differ from a 2013–2023 fit.</w:t>
      </w:r>
    </w:p>
    <w:p>
      <w:pPr>
        <w:keepNext w:val="0"/>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[10,11,12]. Very hot days rose from 17 to 54 over the 2013–2021 comparison and were 54 in 2023 [11,12]. Cold days were 14 in 2013 and 14 in 2023, with 1 in 2019 and 13 in 2021 [10,11,12]. Air pollution also moved: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while ozone rose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[13]. Those series describe the window. They do not, by themselves, explain a first-event count ratio.</w:t>
      </w:r>
    </w:p>
    <w:p>
      <w:pPr>
        <w:keepNext w:val="0"/>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the monthly first-hospitalisation counts. The second is the Model 1 count ratio for official hot nights, very hot days, and cold days, shown for the full 132 months and for the nested 84 months that stop at December 2019. The official-day ratios are carried as a ruling-out exhibit for the first object: if official thermal extremes were a sufficient account of the window dependence, those ratios would be stable across the two windows, and continuous temperature would tell the same story as the official day counts. All twelve full-window Model 1 fits are reported so that the exhibit is not a selected pair of rows.</w:t>
      </w:r>
    </w:p>
    <w:p>
      <w:pPr>
        <w:keepNext/>
        <w:keepLines/>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UW XX-XXX).</w:t>
      </w:r>
      <w:commentRangeEnd w:id="2"/>
      <w:r>
        <w:rPr>
          <w:rStyle w:val="CommentReference"/>
        </w:rPr>
        <w:commentReference w:id="2"/>
      </w:r>
    </w:p>
    <w:p>
      <w:pPr>
        <w:keepNext/>
        <w:keepLines/>
        <w:spacing w:after="120" w:before="160" w:line="240" w:lineRule="auto"/>
        <w:ind w:firstLine="0"/>
        <w:jc w:val="left"/>
      </w:pPr>
      <w:r>
        <w:rPr>
          <w:rFonts w:ascii="Times New Roman" w:hAnsi="Times New Roman" w:eastAsia="Times New Roman"/>
          <w:b/>
          <w:i w:val="0"/>
          <w:sz w:val="24"/>
        </w:rPr>
        <w:t>Data sources</w:t>
      </w:r>
    </w:p>
    <w:p>
      <w:pPr>
        <w:keepNext/>
        <w:keepLines/>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keepLines/>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keepLines/>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[15].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keepLines/>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[16]:</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how much higher or lower month </w:t>
      </w:r>
      <w:r>
        <w:rPr>
          <w:rFonts w:ascii="Times New Roman" w:hAnsi="Times New Roman" w:eastAsia="Times New Roman"/>
          <w:b w:val="0"/>
          <w:i/>
          <w:sz w:val="24"/>
        </w:rPr>
        <w:t>m</w:t>
      </w:r>
      <w:r>
        <w:rPr>
          <w:rFonts w:ascii="Times New Roman" w:hAnsi="Times New Roman" w:eastAsia="Times New Roman"/>
          <w:b w:val="0"/>
          <w:i w:val="0"/>
          <w:sz w:val="24"/>
        </w:rPr>
        <w:t xml:space="preserve"> is than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smooth curve of time with four degrees of freedom, used to capture slow change over the eleven years. In words, the left side is the log of the expected hospital count.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[17]. The main reported interval is Newey–West with lag 6. Monthly hospital counts can be correlated from one month to the next; Newey–West intervals allow for that. A </w:t>
      </w:r>
      <w:r>
        <w:rPr>
          <w:rFonts w:ascii="Times New Roman" w:hAnsi="Times New Roman" w:eastAsia="Times New Roman"/>
          <w:b w:val="0"/>
          <w:i/>
          <w:sz w:val="24"/>
        </w:rPr>
        <w:t>q</w:t>
      </w:r>
      <w:r>
        <w:rPr>
          <w:rFonts w:ascii="Times New Roman" w:hAnsi="Times New Roman" w:eastAsia="Times New Roman"/>
          <w:b w:val="0"/>
          <w:i w:val="0"/>
          <w:sz w:val="24"/>
        </w:rPr>
        <w:t xml:space="preserve">-value is a </w:t>
      </w:r>
      <w:r>
        <w:rPr>
          <w:rFonts w:ascii="Times New Roman" w:hAnsi="Times New Roman" w:eastAsia="Times New Roman"/>
          <w:b w:val="0"/>
          <w:i/>
          <w:sz w:val="24"/>
        </w:rPr>
        <w:t>p</w:t>
      </w:r>
      <w:r>
        <w:rPr>
          <w:rFonts w:ascii="Times New Roman" w:hAnsi="Times New Roman" w:eastAsia="Times New Roman"/>
          <w:b w:val="0"/>
          <w:i w:val="0"/>
          <w:sz w:val="24"/>
        </w:rPr>
        <w:t xml:space="preserve">-value adjusted for testing the twelve Model 1 fits together [18]. Multiplicity-adjusted </w:t>
      </w:r>
      <w:r>
        <w:rPr>
          <w:rFonts w:ascii="Times New Roman" w:hAnsi="Times New Roman" w:eastAsia="Times New Roman"/>
          <w:b w:val="0"/>
          <w:i/>
          <w:sz w:val="24"/>
        </w:rPr>
        <w:t>q</w:t>
      </w:r>
      <w:r>
        <w:rPr>
          <w:rFonts w:ascii="Times New Roman" w:hAnsi="Times New Roman" w:eastAsia="Times New Roman"/>
          <w:b w:val="0"/>
          <w:i w:val="0"/>
          <w:sz w:val="24"/>
        </w:rPr>
        <w:t>-values were computed on the full 132-month window only.</w:t>
      </w:r>
    </w:p>
    <w:p>
      <w:pPr>
        <w:keepNext w:val="0"/>
        <w:spacing w:after="160" w:before="0" w:line="240" w:lineRule="auto"/>
        <w:ind w:firstLine="720"/>
        <w:jc w:val="both"/>
      </w:pPr>
      <w:r>
        <w:rPr>
          <w:rFonts w:ascii="Times New Roman" w:hAnsi="Times New Roman" w:eastAsia="Times New Roman"/>
          <w:b w:val="0"/>
          <w:i w:val="0"/>
          <w:sz w:val="24"/>
        </w:rPr>
        <w:t>The nested specification repeats equation (1) on January 2013–December 2019 (84 months). Those 84 months are contained in the 132; the two fits are therefore not independent periods, and their difference is not a fitted pre/post effect. No interaction between exposure and period was fitted, and no 48-month post-2020 window is reported as a Model 1 table. COVID-period indicators on the full sample (through January 2020; February 2020–December 2021; January–April 2022; May–December 2022; and from January 2023) are a further labelled specification. They do not replace Model 1.</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[8] and monthly total rainfall [19]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keepLines/>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rPr>
        <w:t xml:space="preserve">^(3/5) and the count ratio per one day is </w:t>
      </w:r>
      <w:r>
        <w:rPr>
          <w:rFonts w:ascii="Times New Roman" w:hAnsi="Times New Roman" w:eastAsia="Times New Roman"/>
          <w:b w:val="0"/>
          <w:i/>
          <w:sz w:val="24"/>
        </w:rPr>
        <w:t>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dropping the first 12 or 24 months; weather one or two months earlier; and dropping the most influential month. Cold-day models restricted to November–March are a labelled sensitivity.</w:t>
      </w:r>
    </w:p>
    <w:p>
      <w:pPr>
        <w:keepNext w:val="0"/>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[20,21]. We did not apply that method to the hospital counts.</w:t>
      </w:r>
    </w:p>
    <w:p>
      <w:pPr>
        <w:keepNext w:val="0"/>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keepNext/>
        <w:keepLines/>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keepLines/>
        <w:spacing w:after="120" w:before="240" w:line="240" w:lineRule="auto"/>
        <w:ind w:firstLine="0"/>
        <w:jc w:val="left"/>
      </w:pPr>
      <w:r>
        <w:rPr>
          <w:rFonts w:ascii="Times New Roman" w:hAnsi="Times New Roman" w:eastAsia="Times New Roman"/>
          <w:b/>
          <w:i w:val="0"/>
          <w:sz w:val="28"/>
        </w:rPr>
        <w:t>Results</w:t>
      </w:r>
    </w:p>
    <w:p>
      <w:pPr>
        <w:keepNext/>
        <w:keepLines/>
        <w:spacing w:after="120" w:before="160" w:line="240" w:lineRule="auto"/>
        <w:ind w:firstLine="0"/>
        <w:jc w:val="left"/>
      </w:pPr>
      <w:r>
        <w:rPr>
          <w:rFonts w:ascii="Times New Roman" w:hAnsi="Times New Roman" w:eastAsia="Times New Roman"/>
          <w:b/>
          <w:i w:val="0"/>
          <w:sz w:val="24"/>
        </w:rPr>
        <w:t>Outcome series</w:t>
      </w:r>
    </w:p>
    <w:p>
      <w:pPr>
        <w:keepNext/>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Mean monthly first-event counts were 1,315 for CHD and 252 for HF in 2013–2019, against 926 and 173 in 2020–2022. Figure 1 indexes both hospital series and the general-population series to 2013. The decline in first-event counts is compatible with depletion of the at-risk set in a 2013–2023 diagnosis window, together with pandemic changes in care-seeking. It is not a measure of physiological improvement.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spacing w:after="12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800"/>
        <w:gridCol w:w="1080"/>
        <w:gridCol w:w="648"/>
        <w:gridCol w:w="1152"/>
        <w:gridCol w:w="1007"/>
        <w:gridCol w:w="3096"/>
      </w:tblGrid>
      <w:tr>
        <w:trPr>
          <w:cantSplit/>
          <w:tblHeader/>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Heart failure</w:t>
            </w:r>
          </w:p>
        </w:tc>
        <w:tc>
          <w:tcPr>
            <w:tcW w:type="dxa" w:w="108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29,681</w:t>
            </w:r>
          </w:p>
        </w:tc>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224.9</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 The figure does not measure consecutive hot or cold spells, and it is not a physiological series.</w:t>
      </w:r>
    </w:p>
    <w:p>
      <w:pPr>
        <w:keepLines/>
        <w:spacing w:after="160" w:before="0" w:line="240" w:lineRule="auto"/>
        <w:ind w:firstLine="0"/>
        <w:jc w:val="center"/>
      </w:pPr>
      <w:r>
        <w:drawing>
          <wp:inline xmlns:a="http://schemas.openxmlformats.org/drawingml/2006/main" xmlns:pic="http://schemas.openxmlformats.org/drawingml/2006/picture">
            <wp:extent cx="3925229" cy="4023359"/>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3925229" cy="4023359"/>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Exposure context</w:t>
      </w:r>
    </w:p>
    <w:p>
      <w:pPr>
        <w:keepNext w:val="0"/>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[12]. The 2013 count was about seven days below the 1981–2010 normal [10]. The 2021 count was the highest annual number of hot nights in the Observatory record at that time [11]. Very hot days rose from 17 to 54 over the same 2013–2021 comparison, and were 54 in 2023 [12]. Cold days were 14 in 2013 and 14 in 2023, with 1 in 2019 and 13 in 2021 [12].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spacing w:after="120" w:before="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 Identification is between winters, not a consecutive-duration spell, and not a physiological mechanism.</w:t>
      </w:r>
    </w:p>
    <w:p>
      <w:pPr>
        <w:keepLines/>
        <w:spacing w:after="160" w:before="0" w:line="240" w:lineRule="auto"/>
        <w:ind w:firstLine="0"/>
        <w:jc w:val="center"/>
      </w:pPr>
      <w:r>
        <w:drawing>
          <wp:inline xmlns:a="http://schemas.openxmlformats.org/drawingml/2006/main" xmlns:pic="http://schemas.openxmlformats.org/drawingml/2006/picture">
            <wp:extent cx="5549462" cy="4023360"/>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549462" cy="4023360"/>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Nested-window official-day panel</w:t>
      </w:r>
    </w:p>
    <w:p>
      <w:pPr>
        <w:keepNext/>
        <w:keepLines/>
        <w:spacing w:after="120" w:before="0" w:line="240" w:lineRule="auto"/>
        <w:ind w:firstLine="0"/>
        <w:jc w:val="left"/>
      </w:pPr>
      <w:r>
        <w:rPr>
          <w:rFonts w:ascii="Times New Roman" w:hAnsi="Times New Roman" w:eastAsia="Times New Roman"/>
          <w:b w:val="0"/>
          <w:i/>
          <w:sz w:val="22"/>
        </w:rPr>
        <w:t>Table 2 reports the official-day Model 1 count ratios, per five additional such days in the month, for the full 132 months and for the nested 84 months. The 84 months are contained in the 132, so the two columns are not independent periods and their difference is not a fitted pre/post effect. Interval overlap between the two columns is not a test of a window difference. Figure 3 is the main identification display for this article, including trend-spline and COVID-phase rows.</w:t>
      </w:r>
    </w:p>
    <w:p>
      <w:pPr>
        <w:keepNext w:val="0"/>
        <w:spacing w:after="160" w:before="0" w:line="240" w:lineRule="auto"/>
        <w:ind w:firstLine="720"/>
        <w:jc w:val="both"/>
      </w:pPr>
      <w:r>
        <w:rPr>
          <w:rFonts w:ascii="Times New Roman" w:hAnsi="Times New Roman" w:eastAsia="Times New Roman"/>
          <w:b w:val="0"/>
          <w:i w:val="0"/>
          <w:sz w:val="24"/>
        </w:rPr>
        <w:t xml:space="preserve">The HF cold-day ratio was 1.113 (1.053–1.176) in the nested window and 1.073 (1.006–1.144) over the full window. Both intervals exclude 1 under Newey–West lag-6 reporting. The full-window estimate has </w:t>
      </w:r>
      <w:r>
        <w:rPr>
          <w:rFonts w:ascii="Times New Roman" w:hAnsi="Times New Roman" w:eastAsia="Times New Roman"/>
          <w:b w:val="0"/>
          <w:i/>
          <w:sz w:val="24"/>
        </w:rPr>
        <w:t>q</w:t>
      </w:r>
      <w:r>
        <w:rPr>
          <w:rFonts w:ascii="Times New Roman" w:hAnsi="Times New Roman" w:eastAsia="Times New Roman"/>
          <w:b w:val="0"/>
          <w:i w:val="0"/>
          <w:sz w:val="24"/>
        </w:rPr>
        <w:t xml:space="preserve"> = 0.192. The CHD cold-day ratio excluded 1 only in the nested window (1.036, 1.007–1.067). In the full window it was 0.995 (0.949–1.043). The CHD hot-night ratio was 1.011 (0.991–1.032) in the nested window, an interval that includes 1, and 1.022 (1.002–1.042) in the full window (</w:t>
      </w:r>
      <w:r>
        <w:rPr>
          <w:rFonts w:ascii="Times New Roman" w:hAnsi="Times New Roman" w:eastAsia="Times New Roman"/>
          <w:b w:val="0"/>
          <w:i/>
          <w:sz w:val="24"/>
        </w:rPr>
        <w:t>q</w:t>
      </w:r>
      <w:r>
        <w:rPr>
          <w:rFonts w:ascii="Times New Roman" w:hAnsi="Times New Roman" w:eastAsia="Times New Roman"/>
          <w:b w:val="0"/>
          <w:i w:val="0"/>
          <w:sz w:val="24"/>
        </w:rPr>
        <w:t xml:space="preserve"> = 0.192). COVID-phase indicators on the full sample moved the CHD hot-night ratio to 1.013 (0.994–1.033) and left the HF cold-day ratio at 1.074 (1.006–1.145). There is no 48-month post-2020 Model 1 table. Attenuation of a cold-day count ratio toward 1, or a hot-night ratio that appears only when the later years are included, is a change in a monthly count model. It is not a measure of physiological improvement.</w:t>
      </w:r>
    </w:p>
    <w:p>
      <w:pPr>
        <w:keepNext/>
        <w:spacing w:after="160" w:before="0" w:line="240" w:lineRule="auto"/>
        <w:ind w:firstLine="720"/>
        <w:jc w:val="both"/>
      </w:pPr>
      <w:commentRangeStart w:id="7"/>
      <w:r>
        <w:rPr>
          <w:rFonts w:ascii="Times New Roman" w:hAnsi="Times New Roman" w:eastAsia="Times New Roman"/>
          <w:b w:val="0"/>
          <w:i w:val="0"/>
          <w:sz w:val="24"/>
        </w:rPr>
        <w:t>Read as the ruling-out exhibit, the panel does not behave as a sufficient account of the window dependence would require. The cold-day ratios move in one direction between the windows, and the CHD hot-night ratio moves in the other. Official thermal extremes are therefore insufficient to explain why the fits depend on the window, and they are not thereby irrelevant to the fits.</w:t>
      </w:r>
      <w:commentRangeEnd w:id="7"/>
      <w:r>
        <w:rPr>
          <w:rStyle w:val="CommentReference"/>
        </w:rPr>
        <w:commentReference w:id="7"/>
      </w:r>
    </w:p>
    <w:p>
      <w:pPr>
        <w:keepNext/>
        <w:keepLines/>
        <w:spacing w:after="120" w:before="0" w:line="240" w:lineRule="auto"/>
        <w:ind w:firstLine="0"/>
        <w:jc w:val="left"/>
      </w:pPr>
      <w:commentRangeStart w:id="8"/>
      <w:r>
        <w:rPr>
          <w:rFonts w:ascii="Times New Roman" w:hAnsi="Times New Roman" w:eastAsia="Times New Roman"/>
          <w:b w:val="0"/>
          <w:i/>
          <w:sz w:val="22"/>
        </w:rPr>
        <w:t>Table 2. Official-day count ratios in the full window and in the nested January 2013–December 2019 window (Newey–West lag-6). Each estimate is the Model 1 count ratio per five additional official days in the month. The 84 nested months are contained in the 132. Benjamini–Hochberg q-values apply to the twelve full-window Model 1 fits only.</w:t>
      </w:r>
      <w:commentRangeEnd w:id="8"/>
      <w:r>
        <w:rPr>
          <w:rStyle w:val="CommentReference"/>
        </w:rPr>
        <w:commentReference w:id="8"/>
      </w:r>
    </w:p>
    <w:tbl>
      <w:tblPr>
        <w:tblStyle w:val="TableGrid"/>
        <w:tblLayout w:type="fixed"/>
        <w:tblLook w:firstColumn="1" w:firstRow="1" w:lastColumn="0" w:lastRow="0" w:noHBand="0" w:noVBand="1" w:val="04A0"/>
        <w:tblW w:w="5000" w:type="pct"/>
        <w:tblLayout w:type="fixed"/>
      </w:tblPr>
      <w:tblGrid>
        <w:gridCol w:w="1224"/>
        <w:gridCol w:w="2088"/>
        <w:gridCol w:w="2736"/>
        <w:gridCol w:w="2736"/>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2013–2023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2013–2019 (84 months)</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The nested window is January 2013–December 2019 (84 months). Continuous-temperature fits for the same specifications are a supplement, not a physiology panel.</w:t>
      </w:r>
    </w:p>
    <w:p>
      <w:pPr>
        <w:keepLines/>
        <w:spacing w:after="160" w:before="0" w:line="240" w:lineRule="auto"/>
        <w:ind w:firstLine="0"/>
        <w:jc w:val="center"/>
      </w:pPr>
      <w:r>
        <w:drawing>
          <wp:inline xmlns:a="http://schemas.openxmlformats.org/drawingml/2006/main" xmlns:pic="http://schemas.openxmlformats.org/drawingml/2006/picture">
            <wp:extent cx="3239588" cy="384047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3239588" cy="3840479"/>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Twelve-fit thermal exhibit</w:t>
      </w:r>
    </w:p>
    <w:p>
      <w:pPr>
        <w:keepNext/>
        <w:keepLines/>
        <w:spacing w:after="120" w:before="0" w:line="240" w:lineRule="auto"/>
        <w:ind w:firstLine="0"/>
        <w:jc w:val="left"/>
      </w:pPr>
      <w:r>
        <w:rPr>
          <w:rFonts w:ascii="Times New Roman" w:hAnsi="Times New Roman" w:eastAsia="Times New Roman"/>
          <w:b w:val="0"/>
          <w:i/>
          <w:sz w:val="22"/>
        </w:rPr>
        <w:t>Table 3 reports the twelve separate-exposure count ratios under the offset for the number of days in the month and Newey–West lag-6 intervals. It is the thermal exhibit, not the headline of this article.</w:t>
      </w:r>
    </w:p>
    <w:p>
      <w:pPr>
        <w:keepNext/>
        <w:keepLines/>
        <w:spacing w:after="120" w:before="0" w:line="240" w:lineRule="auto"/>
        <w:ind w:firstLine="0"/>
        <w:jc w:val="left"/>
      </w:pPr>
      <w:r>
        <w:rPr>
          <w:rFonts w:ascii="Times New Roman" w:hAnsi="Times New Roman" w:eastAsia="Times New Roman"/>
          <w:b w:val="0"/>
          <w:i/>
          <w:sz w:val="22"/>
        </w:rPr>
        <w:t>Table 3. Model 1: negative-binomial models with an offset for the number of days in the month and Newey–West lag-6 intervals.</w:t>
      </w:r>
    </w:p>
    <w:tbl>
      <w:tblPr>
        <w:tblStyle w:val="TableGrid"/>
        <w:tblLayout w:type="fixed"/>
        <w:tblLook w:firstColumn="1" w:firstRow="1" w:lastColumn="0" w:lastRow="0" w:noHBand="0" w:noVBand="1" w:val="04A0"/>
        <w:tblW w:w="5000" w:type="pct"/>
        <w:tblLayout w:type="fixed"/>
      </w:tblPr>
      <w:tblGrid>
        <w:gridCol w:w="1224"/>
        <w:gridCol w:w="2951"/>
        <w:gridCol w:w="2232"/>
        <w:gridCol w:w="1224"/>
        <w:gridCol w:w="1152"/>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0.995 (0.963–1.028)</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0.764</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-values exceeded 0.19, with a minimum of 0.192. No model meets a multiplicity-protected confirmatory threshold. The HF mean-minimum-temperature interval narrowly included 1, with an unrounded upper bound of 1.00005. 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[9]. For HF, the continuous temperature estimates were weakly inverse, and the cold-day count estimate was positive.</w:t>
      </w:r>
    </w:p>
    <w:p>
      <w:pPr>
        <w:keepNext/>
        <w:keepLines/>
        <w:spacing w:after="120" w:before="160" w:line="240" w:lineRule="auto"/>
        <w:ind w:firstLine="0"/>
        <w:jc w:val="left"/>
      </w:pPr>
      <w:r>
        <w:rPr>
          <w:rFonts w:ascii="Times New Roman" w:hAnsi="Times New Roman" w:eastAsia="Times New Roman"/>
          <w:b/>
          <w:i w:val="0"/>
          <w:sz w:val="24"/>
        </w:rPr>
        <w:t>Uncertainty ladder</w:t>
      </w:r>
    </w:p>
    <w:p>
      <w:pPr>
        <w:keepNext/>
        <w:keepLines/>
        <w:spacing w:after="120" w:before="0" w:line="240" w:lineRule="auto"/>
        <w:ind w:firstLine="0"/>
        <w:jc w:val="left"/>
      </w:pPr>
      <w:r>
        <w:rPr>
          <w:rFonts w:ascii="Times New Roman" w:hAnsi="Times New Roman" w:eastAsia="Times New Roman"/>
          <w:b w:val="0"/>
          <w:i/>
          <w:sz w:val="22"/>
        </w:rPr>
        <w:t>Table 4.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(1.023–1.125)</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(1.011–1.138)</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(1.007–1.143)</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keepNext/>
        <w:keepLines/>
        <w:spacing w:after="120" w:before="160" w:line="240" w:lineRule="auto"/>
        <w:ind w:firstLine="0"/>
        <w:jc w:val="left"/>
      </w:pPr>
      <w:r>
        <w:rPr>
          <w:rFonts w:ascii="Times New Roman" w:hAnsi="Times New Roman" w:eastAsia="Times New Roman"/>
          <w:b/>
          <w:i w:val="0"/>
          <w:sz w:val="24"/>
        </w:rPr>
        <w:t>Specification and diagnostic checks</w:t>
      </w:r>
    </w:p>
    <w:p>
      <w:pPr>
        <w:keepNext/>
        <w:keepLines/>
        <w:spacing w:after="120" w:before="0" w:line="240" w:lineRule="auto"/>
        <w:ind w:firstLine="0"/>
        <w:jc w:val="left"/>
      </w:pPr>
      <w:r>
        <w:rPr>
          <w:rFonts w:ascii="Times New Roman" w:hAnsi="Times New Roman" w:eastAsia="Times New Roman"/>
          <w:b w:val="0"/>
          <w:i/>
          <w:sz w:val="22"/>
        </w:rPr>
        <w:t>Table 5 places mean temperature beside the official-day headlines in the same two windows. In the nested window, mean temperature was inversely associated with both outcomes (CHD 0.980, 0.970–0.990; HF 0.945, 0.927–0.963). In the same 84 months, official cold days were positively associated with both outcomes, and official hot nights were compatible with 1 for CHD and inverse for HF. COVID-phase indicators on the full sample moved mean temperature to 0.989 (0.975–1.003) for CHD and 0.967 (0.944–0.991) for HF. Continuous monthly temperature and official day counts are therefore not interchangeable encodings of the same contrast. Nine of the twelve Newey–West lag-6 intervals excluded 1 in the nested window, including inverse associations for all six continuous temperature contrasts. No multiplicity control was computed within that window, and no nested-window estimate is promoted beyond a labelled specification.</w:t>
      </w:r>
    </w:p>
    <w:p>
      <w:pPr>
        <w:keepNext/>
        <w:keepLines/>
        <w:spacing w:after="120" w:before="0" w:line="240" w:lineRule="auto"/>
        <w:ind w:firstLine="0"/>
        <w:jc w:val="left"/>
      </w:pPr>
      <w:r>
        <w:rPr>
          <w:rFonts w:ascii="Times New Roman" w:hAnsi="Times New Roman" w:eastAsia="Times New Roman"/>
          <w:b w:val="0"/>
          <w:i/>
          <w:sz w:val="22"/>
        </w:rPr>
        <w:t>Table 5. Mean temperature versus official-day encodings (Newey–West lag-6).</w:t>
      </w:r>
    </w:p>
    <w:tbl>
      <w:tblPr>
        <w:tblStyle w:val="TableGrid"/>
        <w:tblLayout w:type="fixed"/>
        <w:tblLook w:firstColumn="1" w:firstRow="1" w:lastColumn="0" w:lastRow="0" w:noHBand="0" w:noVBand="1" w:val="04A0"/>
        <w:tblW w:w="5000" w:type="pct"/>
        <w:tblLayout w:type="fixed"/>
      </w:tblPr>
      <w:tblGrid>
        <w:gridCol w:w="1152"/>
        <w:gridCol w:w="2232"/>
        <w:gridCol w:w="1800"/>
        <w:gridCol w:w="1800"/>
        <w:gridCol w:w="1800"/>
      </w:tblGrid>
      <w:tr>
        <w:trPr>
          <w:cantSplit/>
          <w:tblHeader/>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2013–2023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2013–2019</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COVID-phase indicators</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keepNext w:val="0"/>
        <w:spacing w:after="160" w:before="0" w:line="240" w:lineRule="auto"/>
        <w:ind w:firstLine="720"/>
        <w:jc w:val="both"/>
      </w:pPr>
      <w:r>
        <w:rPr>
          <w:rFonts w:ascii="Times New Roman" w:hAnsi="Times New Roman" w:eastAsia="Times New Roman"/>
          <w:b w:val="0"/>
          <w:i w:val="0"/>
          <w:sz w:val="24"/>
        </w:rPr>
        <w:t>Across trend, window, and COVID-phase specifications, the CHD hot-night ratio ranged from 1.011 to 1.025, and the HF cold-day ratio from 1.043 to 1.113 (Figure 3).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For HF cold days, the 8-df interval includes 1 (1.062, 0.994–1.135).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val="0"/>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No real daily coefficient is reported.</w:t>
      </w:r>
    </w:p>
    <w:p>
      <w:pPr>
        <w:keepNext/>
        <w:keepLines/>
        <w:spacing w:after="120" w:before="24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Annual first events fell by roughly half (CHD 23,830 to 12,323; HF 4,336 to 2,296, with a 2020 dip to 10,237 and 1,964) while the general population aged 35 years or older rose 17%. Cold-day point estimates were larger in the nested 84 months than in the full 132 (HF 1.113 vs 1.073; CHD 1.036 vs 0.995), with overlapping intervals. The CHD hot-night interval excluded 1 only in the full window (1.022, 1.002–1.042; nested: 1.011, 0.991–1.032).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so neither estimate is a confirmatory primary.</w:t>
      </w:r>
    </w:p>
    <w:p>
      <w:pPr>
        <w:keepNext w:val="0"/>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Neighbouring Hong Kong files show fewer hospitalisations and more cardiovascular deaths in 2020 [1–4]. Emergency-department visits fell and 28-day mortality among attenders rose [2,3]. Self-reported avoidance of consultation was common [4]. ST-elevation myocardial infarction care was delayed [5,6]. Those patterns are consistent with reduced care-seeking and system shock. They predict fewer first recorded hospitalisations in a monthly Hospital Authority series without requiring a quieter myocardium. They do not identify how much of Table 1 is delayed presentation. They do not license reading the count drop as recovered health.</w:t>
      </w:r>
    </w:p>
    <w:p>
      <w:pPr>
        <w:keepNext w:val="0"/>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 first hospitalisation after a first CHD or HF diagnosis inside a 2013–2023 diagnosis window. People who have already had that first event cannot contribute another. Absent monthly still-at-risk person-time, the decline in Figure 1 is compatible with a shrinking risk set, with avoided care, or with both [14]. It is not incidence in the territory, and it is not a measure of physiological improvement.</w:t>
      </w:r>
    </w:p>
    <w:p>
      <w:pPr>
        <w:keepNext w:val="0"/>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window dependence, and it is not irrelevant to the fit. Continuous mean temperature in the nested window is inverse for both outcomes and is not a substitute for the official-day encoding (Table 5).</w:t>
      </w:r>
    </w:p>
    <w:p>
      <w:pPr>
        <w:keepNext w:val="0"/>
        <w:spacing w:after="160" w:before="0" w:line="240" w:lineRule="auto"/>
        <w:ind w:firstLine="720"/>
        <w:jc w:val="both"/>
      </w:pPr>
      <w:r>
        <w:rPr>
          <w:rFonts w:ascii="Times New Roman" w:hAnsi="Times New Roman" w:eastAsia="Times New Roman"/>
          <w:b w:val="0"/>
          <w:i w:val="0"/>
          <w:sz w:val="24"/>
        </w:rPr>
        <w:t>Three neighbouring literatures bound what these three rivals can be asked to carry. Daily cardiac-admission studies do not rescue a monthly first-event claim: Goggins and Chan's cumulative relative risk comparing 11 °C with 25 °C is not a monthly count ratio per five official cold days, and it is not imported into Table 2 or Table 3 [8]. Guo et al. reported no overall association for the official hot-night flag after adjustment for mean temperature, so a difference between monthly means and monthly official counts does not identify an intensity mechanism [9]. Liu et al. (2020, 2026) remain complementary mortality baselines whose attributable fractions and excess-death totals cannot be rescaled into the present count ratios [22,23]. Physiological accounts of overnight recovery and cold-related afterload, and any mapping onto heat–health action-plan elements, are not identified by 132 monthly counts and are left to the supplement.</w:t>
      </w:r>
    </w:p>
    <w:p>
      <w:pPr>
        <w:keepNext w:val="0"/>
        <w:spacing w:after="160" w:before="0" w:line="240" w:lineRule="auto"/>
        <w:ind w:firstLine="720"/>
        <w:jc w:val="both"/>
      </w:pPr>
      <w:r>
        <w:rPr>
          <w:rFonts w:ascii="Times New Roman" w:hAnsi="Times New Roman" w:eastAsia="Times New Roman"/>
          <w:b w:val="0"/>
          <w:i w:val="0"/>
          <w:sz w:val="24"/>
        </w:rPr>
        <w:t>Two limits of this extract remain unresolved rather than adjudicated. Influenza covers 121 of 132 months and is a sensitivity, not Model 1; a labelled synthetic count process, not this Hospital Authority panel, shows that a full-window coefficient can look attenuated when utilisation or an influenza-like term collapses after month 84 while the true coefficient is held constant. Pollution declined across the decade [13], and that co-trend is slow rather than a 2020-only switch, so confounding by infection or ozone is unresolved in Model 1.</w:t>
      </w:r>
    </w:p>
    <w:p>
      <w:pPr>
        <w:keepNext/>
        <w:keepLines/>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In this 2013–2023 first-event extract, monthly CHD and HF counts fell, and cold-day count ratios were stronger in the nested 84 months than in the full window. Official hot nights and cold days do not supply a sufficient account of that window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keepNext/>
        <w:keepLines/>
        <w:spacing w:after="120" w:before="24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nested 84-month specification. All twelve full-window Model 1 fits are reported. Uncertainty is shown as a four-construction ladder. Figure 1 and Figure 3 display the two objects the thesis needs: the first-event decline and the dependence of each official-day ratio on the window and the time smooth.</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series were not delivered.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in the nested window. There is no post-only 48-month Model 1 table. Official hot-night counts are not hourly nighttime excess heat [9]. All exposures were measured at a single Observatory station and applied territory-wide. Influenza is missing for January–October 2013. Confounding by pollution, humidity, rainfall, and influenza is unresolved in Model 1. A corresponding stroke series was not available. Influence months include February 2020 for CHD and February 2022 for HF cold days. Physiological mechanisms are not identified from the 132 months.</w:t>
      </w:r>
    </w:p>
    <w:p>
      <w:pPr>
        <w:keepNext/>
        <w:keepLines/>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keepLines/>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keepLines/>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keepLines/>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keepNext/>
        <w:keepLines/>
        <w:spacing w:after="120" w:before="240" w:line="240" w:lineRule="auto"/>
        <w:ind w:firstLine="0"/>
        <w:jc w:val="left"/>
      </w:pPr>
      <w:r>
        <w:rPr>
          <w:rFonts w:ascii="Times New Roman" w:hAnsi="Times New Roman" w:eastAsia="Times New Roman"/>
          <w:b/>
          <w:i w:val="0"/>
          <w:sz w:val="28"/>
        </w:rPr>
        <w:t>References</w:t>
      </w:r>
    </w:p>
    <w:p>
      <w:pPr>
        <w:spacing w:after="60" w:before="0" w:line="240" w:lineRule="auto"/>
        <w:ind w:left="425" w:hanging="425"/>
        <w:jc w:val="left"/>
      </w:pPr>
      <w:r>
        <w:rPr>
          <w:rFonts w:ascii="Times New Roman" w:hAnsi="Times New Roman" w:eastAsia="Times New Roman"/>
          <w:b w:val="0"/>
          <w:i w:val="0"/>
          <w:sz w:val="22"/>
        </w:rPr>
        <w:t xml:space="preserve">1. Xin H, Wu P, Wong JY, et al. Hospitalizations and mortality during the first year of the COVID-19 pandemic in Hong Kong, China: a retrospective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2022;21:100645. doi:10.1016/j.lanwpc.2022.100645 2.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xml:space="preserve">. 2022;79(2):148-157. doi:10.1016/j.annemergmed.2021.09.424 3.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xml:space="preserve">. 2024;10:e41792. doi:10.2196/41792 4.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xml:space="preserve">. 2022;11(4):508-513. doi:10.34172/ijhpm.2020.183 5.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xml:space="preserve">. 2020;13(4):e006631. doi:10.1161/CIRCOUTCOMES.120.006631 6.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xml:space="preserve">. 2021;97(2):E194-E197. doi:10.1002/ccd.28943 7.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2013;168(1):243-249. doi:10.1016/j.ijcard.2012.09.087 8.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2017;228:537-542. doi:10.1016/j.ijcard.2016.11.106 9.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2024;51:101168. doi:10.1016/j.lanwpc.2024.101168 10. Hong Kong Observatory. The Year's Weather — 2013. https://www.hko.gov.hk/en/wxinfo/pastwx/ywx2013.htm 11. Hong Kong Observatory. The Year's Weather — 2021. https://www.hko.gov.hk/en/wxinfo/pastwx/2021/ywx2021.htm 12. Hong Kong Observatory. Hong Kong Observatory Open Data. https://www.hko.gov.hk/en/abouthko/opendata_intro.htm 13. Environmental Protection Department. Environmental Protection Interactive Centre: Air Quality Data. https://cd.epic.epd.gov.hk/EPICDI/air/station/?lang=en 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1989;18(1):269-274. doi:10.1093/ije/18.1.269 15. Census and Statistics Department. Population by Sex and Age Group (Table 110-01001). https://data.gov.hk/en-data/dataset/hk-censtatd-tablechart-110-01001 16.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2013;42(4):1187-1195. doi:10.1093/ije/dyt092 17.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xml:space="preserve">. 1987;55(3):703-708. doi:10.2307/1913610 18.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xml:space="preserve">. 1995;57(1):289-300. doi:10.1111/j.2517-6161.1995.tb02031.x 19.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xml:space="preserve">. 2013;91(8):576-584. doi:10.2471/BLT.12.113035 20.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xml:space="preserve">. 2024;8(10):e766-e777. doi:10.1016/S2542-5196(24)00212-2 21.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xml:space="preserve">. 2026;37(1):16-20. doi:10.1097/EDE.0000000000001923 22.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2020;57:102131. doi:10.1016/j.scs.2020.102131 23. Liu Z, Ren C, Liu J, Kawasaki Y, Bishai DM. Modelling the excess mortality associated with heat waves in Hong Kong: 2014–2023. medRxiv. 2026. doi:10.64898/2026.03.05.26347683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2T16:11:19Z">
    <w:p>
      <w:pPr>
        <w:pStyle w:val="CommentText"/>
      </w:pPr>
      <w:r>
        <w:rPr>
          <w:rStyle w:val="CommentReference"/>
        </w:rPr>
        <w:annotationRef/>
      </w:r>
      <w:r>
        <w:t>Author order after the first and last positions remains for Professor Bishai and the team to confirm.</w:t>
      </w:r>
    </w:p>
  </w:comment>
  <w:comment w:id="1" w:author="Bob Shen" w:initials="BS" w:date="2026-09-12T16:11:19Z">
    <w:p>
      <w:pPr>
        <w:pStyle w:val="CommentText"/>
      </w:pPr>
      <w:r>
        <w:rPr>
          <w:rStyle w:val="CommentReference"/>
        </w:rPr>
        <w:annotationRef/>
      </w:r>
      <w:r>
        <w:t>The 84-month fit is a nested-window sensitivity. No 2020–2023-only Model 1 and no exposure-by-period interaction is reported.</w:t>
      </w:r>
    </w:p>
  </w:comment>
  <w:comment w:id="2" w:author="Bob Shen" w:initials="BS" w:date="2026-09-12T16:11:19Z">
    <w:p>
      <w:pPr>
        <w:pStyle w:val="CommentText"/>
      </w:pPr>
      <w:r>
        <w:rPr>
          <w:rStyle w:val="CommentReference"/>
        </w:rPr>
        <w:annotationRef/>
      </w:r>
      <w:r>
        <w:t>Professor Bishai should replace the IRB reference UW XX-XXX with the approved number before submission.</w:t>
      </w:r>
    </w:p>
  </w:comment>
  <w:comment w:id="3" w:author="Bob Shen" w:initials="BS" w:date="2026-09-12T16:11:19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2T16:11:19Z">
    <w:p>
      <w:pPr>
        <w:pStyle w:val="CommentText"/>
      </w:pPr>
      <w:r>
        <w:rPr>
          <w:rStyle w:val="CommentReference"/>
        </w:rPr>
        <w:annotationRef/>
      </w:r>
      <w:r>
        <w:t>Laboratory, infection, vaccination, and serology fields would require a new governed extract if Professor Bishai opens that scope.</w:t>
      </w:r>
    </w:p>
  </w:comment>
  <w:comment w:id="5" w:author="Bob Shen" w:initials="BS" w:date="2026-09-12T16:11:19Z">
    <w:p>
      <w:pPr>
        <w:pStyle w:val="CommentText"/>
      </w:pPr>
      <w:r>
        <w:rPr>
          <w:rStyle w:val="CommentReference"/>
        </w:rPr>
        <w:annotationRef/>
      </w:r>
      <w:r>
        <w:t>Hogan's meteorological wording is retained verbatim, including the averaging sentence.</w:t>
      </w:r>
    </w:p>
  </w:comment>
  <w:comment w:id="6" w:author="Bob Shen" w:initials="BS" w:date="2026-09-12T16:11:19Z">
    <w:p>
      <w:pPr>
        <w:pStyle w:val="CommentText"/>
      </w:pPr>
      <w:r>
        <w:rPr>
          <w:rStyle w:val="CommentReference"/>
        </w:rPr>
        <w:annotationRef/>
      </w:r>
      <w:r>
        <w:t>Model 2 and Model 3 are specified; no new coefficients are added because the governed panels are not present here.</w:t>
      </w:r>
    </w:p>
  </w:comment>
  <w:comment w:id="7" w:author="Bob Shen" w:initials="BS" w:date="2026-09-12T16:11:19Z">
    <w:p>
      <w:pPr>
        <w:pStyle w:val="CommentText"/>
      </w:pPr>
      <w:r>
        <w:rPr>
          <w:rStyle w:val="CommentReference"/>
        </w:rPr>
        <w:annotationRef/>
      </w:r>
      <w:r>
        <w:t>Interval overlap between the nested and full windows is not a formal test of a coefficient difference.</w:t>
      </w:r>
    </w:p>
  </w:comment>
  <w:comment w:id="8" w:author="Bob Shen" w:initials="BS" w:date="2026-09-12T16:11:19Z">
    <w:p>
      <w:pPr>
        <w:pStyle w:val="CommentText"/>
      </w:pPr>
      <w:r>
        <w:rPr>
          <w:rStyle w:val="CommentReference"/>
        </w:rPr>
        <w:annotationRef/>
      </w:r>
      <w:r>
        <w:t>The 84-month window is contained in the full window. These are nested sensitivity fits, not independent period estimates.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