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76" w:lineRule="auto"/>
        <w:jc w:val="center"/>
      </w:pPr>
      <w:r>
        <w:rPr>
          <w:rFonts w:ascii="Times New Roman" w:hAnsi="Times New Roman"/>
          <w:b w:val="0"/>
          <w:sz w:val="24"/>
        </w:rPr>
        <w:t>SHEN Ruililin</w:t>
      </w:r>
    </w:p>
    <w:p>
      <w:pPr>
        <w:spacing w:after="0" w:before="0" w:line="276" w:lineRule="auto"/>
        <w:jc w:val="center"/>
      </w:pPr>
      <w:r>
        <w:rPr>
          <w:rFonts w:ascii="Times New Roman" w:hAnsi="Times New Roman"/>
          <w:b w:val="0"/>
          <w:sz w:val="24"/>
        </w:rPr>
        <w:t>University Number: 3036484434</w:t>
      </w:r>
    </w:p>
    <w:p>
      <w:pPr>
        <w:spacing w:after="0" w:before="0" w:line="276" w:lineRule="auto"/>
        <w:jc w:val="center"/>
      </w:pPr>
      <w:r>
        <w:rPr>
          <w:rFonts w:ascii="Times New Roman" w:hAnsi="Times New Roman"/>
          <w:b w:val="0"/>
          <w:sz w:val="24"/>
        </w:rPr>
        <w:t>Bachelor of Arts and Sciences in Global Health and Development</w:t>
      </w:r>
    </w:p>
    <w:p>
      <w:pPr>
        <w:spacing w:after="360" w:before="0" w:line="276" w:lineRule="auto"/>
        <w:jc w:val="center"/>
      </w:pPr>
      <w:r>
        <w:rPr>
          <w:rFonts w:ascii="Times New Roman" w:hAnsi="Times New Roman"/>
          <w:b w:val="0"/>
          <w:sz w:val="24"/>
        </w:rPr>
        <w:t>The University of Hong Kong</w:t>
      </w:r>
    </w:p>
    <w:p>
      <w:pPr>
        <w:spacing w:after="240" w:before="0" w:line="276" w:lineRule="auto"/>
      </w:pPr>
      <w:r>
        <w:rPr>
          <w:rFonts w:ascii="Times New Roman" w:hAnsi="Times New Roman"/>
          <w:b w:val="0"/>
          <w:sz w:val="24"/>
        </w:rPr>
        <w:t>Dear Professor Wong,</w:t>
      </w:r>
    </w:p>
    <w:p>
      <w:pPr>
        <w:spacing w:after="240" w:before="0" w:line="276" w:lineRule="auto"/>
      </w:pPr>
      <w:r>
        <w:rPr>
          <w:rFonts w:ascii="Times New Roman" w:hAnsi="Times New Roman"/>
          <w:b w:val="0"/>
          <w:sz w:val="24"/>
        </w:rPr>
        <w:t>In Gannan this spring I watched a woman measure the road to Lhasa with her body. I had gone to listen. I left hungry rather than full. That is why I later stayed with Wu Zhi Qiao in Gansu, on rural health and infrastructure. Service begins before any drawing is unrolled.</w:t>
      </w:r>
    </w:p>
    <w:p>
      <w:pPr>
        <w:spacing w:after="240" w:before="0" w:line="276" w:lineRule="auto"/>
      </w:pPr>
      <w:r>
        <w:rPr>
          <w:rFonts w:ascii="Times New Roman" w:hAnsi="Times New Roman"/>
          <w:b w:val="0"/>
          <w:sz w:val="24"/>
        </w:rPr>
        <w:t>I am writing to thank you for selecting me for the Tung and Ngai Foundation Scholarship. Through you I thank the Tung Chao-Yu &amp; Ngai Chue Jai Lily Education Foundation, and the gift of Mr Tung Chao-Yu and Mdm Ngai Chue-Jai Lily. I did not know them. I can say what their support now holds open.</w:t>
      </w:r>
    </w:p>
    <w:p>
      <w:pPr>
        <w:spacing w:after="240" w:before="0" w:line="276" w:lineRule="auto"/>
      </w:pPr>
      <w:r>
        <w:rPr>
          <w:rFonts w:ascii="Times New Roman" w:hAnsi="Times New Roman"/>
          <w:b w:val="0"/>
          <w:sz w:val="24"/>
        </w:rPr>
        <w:t>I study Global Health and Development at the University of Hong Kong. I want to work as a translator between epidemiological evidence and the offices that must act on it, and between Hong Kong and Mainland public-health practice. Research is the prerequisite for that service, not the destination. With Professor David Bishai I am studying how heat moves cardiovascular admissions in an ageing, high-density Hong Kong. I want a finding narrow enough for preparedness to stand on: who is harmed, in which season, before the ward fills.</w:t>
      </w:r>
    </w:p>
    <w:p>
      <w:pPr>
        <w:spacing w:after="240" w:before="0" w:line="276" w:lineRule="auto"/>
      </w:pPr>
      <w:r>
        <w:rPr>
          <w:rFonts w:ascii="Times New Roman" w:hAnsi="Times New Roman"/>
          <w:b w:val="0"/>
          <w:sz w:val="24"/>
        </w:rPr>
        <w:t>The Scholarship changes the next years in ordinary ways. Tuition and the living allowance keep that work continuous through term. The exchange subsidy lets the compulsory Mainland programme be a working season rather than a visit. I hope to learn how surveillance is gathered and used, toward a field placement with China CDC and, later, work at the Hong Kong–Mainland interface where the Centre for Health Protection’s cross-boundary duties sit. If permitted, I would use the Endeavour Support Fund for a public-health career in the Greater Bay Area — not a start-up for its own sake.</w:t>
      </w:r>
    </w:p>
    <w:p>
      <w:pPr>
        <w:spacing w:after="240" w:before="0" w:line="276" w:lineRule="auto"/>
      </w:pPr>
      <w:r>
        <w:rPr>
          <w:rFonts w:ascii="Times New Roman" w:hAnsi="Times New Roman"/>
          <w:b w:val="0"/>
          <w:sz w:val="24"/>
        </w:rPr>
        <w:t>The scheme asks scholars to mentor those who follow. I will make time for that. A gift made for people the founders would never meet is repaid in work. I intend to do the work.</w:t>
      </w:r>
    </w:p>
    <w:p>
      <w:pPr>
        <w:spacing w:after="480" w:before="0" w:line="276" w:lineRule="auto"/>
      </w:pPr>
      <w:r>
        <w:rPr>
          <w:rFonts w:ascii="Times New Roman" w:hAnsi="Times New Roman"/>
          <w:b w:val="0"/>
          <w:sz w:val="24"/>
        </w:rPr>
        <w:t>Yours sincerely,</w:t>
      </w:r>
    </w:p>
    <w:p>
      <w:pPr>
        <w:spacing w:after="0" w:before="0" w:line="276" w:lineRule="auto"/>
      </w:pPr>
      <w:r>
        <w:rPr>
          <w:rFonts w:ascii="Times New Roman" w:hAnsi="Times New Roman"/>
          <w:b w:val="0"/>
          <w:sz w:val="24"/>
        </w:rPr>
        <w:t>SHEN Ruililin</w:t>
      </w:r>
    </w:p>
    <w:p>
      <w:pPr>
        <w:spacing w:after="0" w:before="0" w:line="276" w:lineRule="auto"/>
      </w:pPr>
      <w:r>
        <w:rPr>
          <w:rFonts w:ascii="Times New Roman" w:hAnsi="Times New Roman"/>
          <w:b w:val="0"/>
          <w:sz w:val="24"/>
        </w:rPr>
        <w:t>The University of Hong Kong</w:t>
      </w:r>
    </w:p>
    <w:p>
      <w:pPr>
        <w:spacing w:after="360" w:before="0" w:line="276" w:lineRule="auto"/>
      </w:pPr>
      <w:r>
        <w:rPr>
          <w:rFonts w:ascii="Times New Roman" w:hAnsi="Times New Roman"/>
          <w:b w:val="0"/>
          <w:sz w:val="24"/>
        </w:rPr>
        <w:t>University Number: 3036484434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Photographs</w:t>
      </w:r>
    </w:p>
    <w:p>
      <w:pPr>
        <w:spacing w:after="160" w:before="0" w:line="276" w:lineRule="auto"/>
      </w:pPr>
      <w:r>
        <w:rPr>
          <w:rFonts w:ascii="Times New Roman" w:hAnsi="Times New Roman"/>
          <w:b w:val="0"/>
          <w:sz w:val="24"/>
        </w:rPr>
        <w:t>Figure 1. Wu Zhi Qiao, Gansu, 2026. Rural health and infrastructure work after Gannan Horizons fieldwork. I am [identify myself in the frame].</w:t>
      </w:r>
    </w:p>
    <w:p>
      <w:pPr>
        <w:spacing w:after="160" w:before="0" w:line="276" w:lineRule="auto"/>
      </w:pPr>
      <w:r>
        <w:rPr>
          <w:rFonts w:ascii="Times New Roman" w:hAnsi="Times New Roman"/>
          <w:b w:val="0"/>
          <w:sz w:val="24"/>
        </w:rPr>
        <w:t>Figure 2. Research at HKU, 2025–26. Heat and cardiovascular admissions work with Professor Bishai’s group, or a GHD teaching/lab moment. I am [identify].</w:t>
      </w:r>
    </w:p>
    <w:p>
      <w:pPr>
        <w:spacing w:after="160" w:before="0" w:line="276" w:lineRule="auto"/>
      </w:pPr>
      <w:r>
        <w:rPr>
          <w:rFonts w:ascii="Times New Roman" w:hAnsi="Times New Roman"/>
          <w:b w:val="0"/>
          <w:sz w:val="24"/>
        </w:rPr>
        <w:t>Figure 3 (optional). A Hong Kong or Mainland public-health service moment — peer teaching or community volunteering. Not a holiday photograph.</w:t>
      </w:r>
    </w:p>
    <w:p>
      <w:r>
        <w:rPr>
          <w:rFonts w:ascii="Times New Roman" w:hAnsi="Times New Roman"/>
          <w:i/>
          <w:sz w:val="20"/>
        </w:rPr>
        <w:t>[Drafting note — delete before sending: body word count 325.]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