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5F"/>
          <w:sz w:val="32"/>
          <w:szCs w:val="32"/>
        </w:rPr>
        <w:t xml:space="preserve">Real-World Adverse Event Signal Detection for Liposomal Bupivacaine (Exparel®) Compared With Plain Bupivacaine Using the FDA Adverse Event Reporting System (FAERS), 2012–2025</w:t>
      </w:r>
    </w:p>
    <w:p>
      <w:pPr>
        <w:spacing w:after="80"/>
        <w:jc w:val="center"/>
      </w:pPr>
      <w:r>
        <w:rPr>
          <w:i/>
          <w:iCs/>
          <w:sz w:val="24"/>
          <w:szCs w:val="24"/>
        </w:rPr>
        <w:t xml:space="preserve">Study Protocol v1.0</w:t>
      </w:r>
    </w:p>
    <w:p>
      <w:pPr>
        <w:spacing w:after="300"/>
        <w:jc w:val="center"/>
      </w:pPr>
      <w:r>
        <w:rPr>
          <w:sz w:val="20"/>
          <w:szCs w:val="20"/>
        </w:rPr>
        <w:t xml:space="preserve">R. Aldwinckle, MD — Department of Anesthesiology &amp; Pain Medicine, UC Davis Health</w:t>
      </w:r>
    </w:p>
    <w:p>
      <w:pPr>
        <w:pStyle w:val="Heading1"/>
      </w:pPr>
      <w:r>
        <w:t xml:space="preserve">1. Executive summary</w:t>
      </w:r>
    </w:p>
    <w:p>
      <w:pPr>
        <w:spacing w:after="120"/>
      </w:pPr>
      <w:r>
        <w:t xml:space="preserve">Liposomal bupivacaine (Exparel®, Pacira BioSciences) has reached approximately $575M in 2025 US net product sales and cumulative exposure exceeding 14 million patients, yet multiple independent meta-analyses have demonstrated only marginal clinical benefit over plain bupivacaine. Despite this sales trajectory and the NOPAIN Act (Jan 1, 2025) facilitating further growth via separate Medicare reimbursement, the real-world comparative adverse event profile in routine perioperative practice has not been systematically characterized in the peer-reviewed literature using a formal disproportionality analysis against an active comparator.</w:t>
      </w:r>
    </w:p>
    <w:p>
      <w:pPr>
        <w:spacing w:after="120"/>
      </w:pPr>
      <w:r>
        <w:t xml:space="preserve">This study applies the established quadruple-algorithm pharmacovigilance framework (ROR, PRR, Bayesian IC, EBGM) to FAERS reports from 2012 Q2 (Exparel post-launch) through the most recent quarterly release, using plain bupivacaine as an active comparator to minimize false-positive signals inherent to all-drug reference comparisons. Pre-specified adverse events of interest span prolonged sensory/motor block, LAST, neurotoxicity, wound complications, chondrolysis (off-label intra-articular), administration errors, hypersensitivity, and cardiac/CNS events.</w:t>
      </w:r>
    </w:p>
    <w:p>
      <w:pPr>
        <w:spacing w:after="120"/>
      </w:pPr>
      <w:r>
        <w:t xml:space="preserve">Anticipated outputs: one peer-reviewed manuscript (target: Regional Anesthesia &amp; Pain Medicine, Anesthesia &amp; Analgesia, or Journal of Clinical Anesthesia) and one scientific poster (target: ASA Annual Meeting or ASRA World Congress). Estimated duration: 8 weeks from data acquisition to submission-ready manuscript. Suitable as a structured resident scholarly project with attending supervision.</w:t>
      </w:r>
    </w:p>
    <w:p>
      <w:pPr>
        <w:pStyle w:val="Heading1"/>
      </w:pPr>
      <w:r>
        <w:t xml:space="preserve">2. Background and rationale</w:t>
      </w:r>
    </w:p>
    <w:p>
      <w:pPr>
        <w:pStyle w:val="Heading2"/>
      </w:pPr>
      <w:r>
        <w:t xml:space="preserve">2.1 Clinical and regulatory context</w:t>
      </w:r>
    </w:p>
    <w:p>
      <w:pPr>
        <w:spacing w:after="120"/>
      </w:pPr>
      <w:r>
        <w:t xml:space="preserve">Exparel (bupivacaine liposome injectable suspension) received FDA approval in October 2011 for single-dose infiltration to produce postsurgical local analgesia. Subsequent label expansions added interscalene brachial plexus block (2018), adductor canal block (2021), sciatic nerve block in the popliteal fossa (2021), and pediatric (age ≥6) infiltration (2021). Off-label use in periarticular infiltration for total knee arthroplasty, TAP blocks, erector spinae plane blocks, and other indications is widespread.</w:t>
      </w:r>
    </w:p>
    <w:p>
      <w:pPr>
        <w:pStyle w:val="Heading2"/>
      </w:pPr>
      <w:r>
        <w:t xml:space="preserve">2.2 Evidence base</w:t>
      </w:r>
    </w:p>
    <w:p>
      <w:pPr>
        <w:spacing w:after="120"/>
      </w:pPr>
      <w:r>
        <w:t xml:space="preserve">The pivotal meta-analysis by Hussain et al. (Anesthesiology 2021) demonstrated a statistically significant but clinically unimportant improvement of 1.0 cm·h in 24–72h pain score AUC, which became non-significant after exclusion of the single industry-sponsored trial. The narrative review by Ilfeld et al. in the same issue found that 92% of included RCTs demonstrated equivalence or inferiority of Exparel to plain local anesthetics. Subsequent 2024 systematic reviews in spine surgery and peripheral nerve block contexts have reinforced these findings. Pacira's response — litigation against the ASA alleging trade libel — was dismissed at both district and appellate levels on the basis that the statements constituted protected scientific opinion.</w:t>
      </w:r>
    </w:p>
    <w:p>
      <w:pPr>
        <w:pStyle w:val="Heading2"/>
      </w:pPr>
      <w:r>
        <w:t xml:space="preserve">2.3 Knowledge gap</w:t>
      </w:r>
    </w:p>
    <w:p>
      <w:pPr>
        <w:spacing w:after="120"/>
      </w:pPr>
      <w:r>
        <w:t xml:space="preserve">Despite this evidence controversy, systematic post-marketing safety surveillance using disproportionality analysis has not been published for Exparel. Existing safety data derive from (a) manufacturer-sponsored registries (e.g., IGOR), (b) individual case reports and small series, and (c) label-update pharmacovigilance reviews not publicly accessible in full. A comparative analysis against plain bupivacaine — the drug it is designed to replace — addresses this gap and directly informs clinical risk-benefit calculus in a reimbursement environment that now favors Exparel adoption.</w:t>
      </w:r>
    </w:p>
    <w:p>
      <w:pPr>
        <w:pStyle w:val="Heading1"/>
      </w:pPr>
      <w:r>
        <w:t xml:space="preserve">3. Objectives and hypotheses</w:t>
      </w:r>
    </w:p>
    <w:p>
      <w:pPr>
        <w:pStyle w:val="Heading2"/>
      </w:pPr>
      <w:r>
        <w:t xml:space="preserve">3.1 Primary objective</w:t>
      </w:r>
    </w:p>
    <w:p>
      <w:pPr>
        <w:spacing w:after="120"/>
      </w:pPr>
      <w:r>
        <w:t xml:space="preserve">To identify MedDRA Preferred Terms demonstrating statistically disproportionate reporting for liposomal bupivacaine compared with plain bupivacaine in FAERS, 2012 Q2 through the most recent available quarter.</w:t>
      </w:r>
    </w:p>
    <w:p>
      <w:pPr>
        <w:pStyle w:val="Heading2"/>
      </w:pPr>
      <w:r>
        <w:t xml:space="preserve">3.2 Secondary objectives</w:t>
      </w:r>
    </w:p>
    <w:p>
      <w:pPr>
        <w:pStyle w:val="ListParagraph"/>
        <w:numPr>
          <w:ilvl w:val="0"/>
          <w:numId w:val="2"/>
        </w:numPr>
        <w:spacing w:after="60"/>
      </w:pPr>
      <w:r>
        <w:t xml:space="preserve">Characterize the temporal trend of adverse event reporting rates for liposomal bupivacaine.</w:t>
      </w:r>
    </w:p>
    <w:p>
      <w:pPr>
        <w:pStyle w:val="ListParagraph"/>
        <w:numPr>
          <w:ilvl w:val="0"/>
          <w:numId w:val="2"/>
        </w:numPr>
        <w:spacing w:after="60"/>
      </w:pPr>
      <w:r>
        <w:t xml:space="preserve">Stratify disproportionality signals by reporter type (healthcare professional vs consumer).</w:t>
      </w:r>
    </w:p>
    <w:p>
      <w:pPr>
        <w:pStyle w:val="ListParagraph"/>
        <w:numPr>
          <w:ilvl w:val="0"/>
          <w:numId w:val="2"/>
        </w:numPr>
        <w:spacing w:after="60"/>
      </w:pPr>
      <w:r>
        <w:t xml:space="preserve">Stratify by seriousness outcome (death, life-threatening, hospitalization, disability, congenital anomaly, other serious).</w:t>
      </w:r>
    </w:p>
    <w:p>
      <w:pPr>
        <w:pStyle w:val="ListParagraph"/>
        <w:numPr>
          <w:ilvl w:val="0"/>
          <w:numId w:val="2"/>
        </w:numPr>
        <w:spacing w:after="60"/>
      </w:pPr>
      <w:r>
        <w:t xml:space="preserve">Assess the impact of the 2018 nerve block label expansion, the Feb 2021 Anesthesiology publication and associated litigation, and the Jan 2025 NOPAIN Act on reporting patterns.</w:t>
      </w:r>
    </w:p>
    <w:p>
      <w:pPr>
        <w:pStyle w:val="ListParagraph"/>
        <w:numPr>
          <w:ilvl w:val="0"/>
          <w:numId w:val="2"/>
        </w:numPr>
        <w:spacing w:after="60"/>
      </w:pPr>
      <w:r>
        <w:t xml:space="preserve">Compare liposomal bupivacaine signals against a secondary active comparator: ropivacaine.</w:t>
      </w:r>
    </w:p>
    <w:p>
      <w:pPr>
        <w:pStyle w:val="Heading2"/>
      </w:pPr>
      <w:r>
        <w:t xml:space="preserve">3.3 Hypotheses</w:t>
      </w:r>
    </w:p>
    <w:p>
      <w:pPr>
        <w:spacing w:after="120"/>
      </w:pPr>
      <w:r>
        <w:t xml:space="preserve">H1 (primary): Reports of prolonged sensory or motor block-related preferred terms (hypoesthesia, muscular weakness, paresthesia) will demonstrate significant disproportionate reporting for Exparel vs bupivacaine across all four signal detection algorithms.</w:t>
      </w:r>
    </w:p>
    <w:p>
      <w:pPr>
        <w:spacing w:after="120"/>
      </w:pPr>
      <w:r>
        <w:t xml:space="preserve">H2: Administration error-related preferred terms (wrong drug administered, incorrect route, off-label use) will demonstrate significant disproportionate reporting, consistent with prior FDA safety communications.</w:t>
      </w:r>
    </w:p>
    <w:p>
      <w:pPr>
        <w:spacing w:after="120"/>
      </w:pPr>
      <w:r>
        <w:t xml:space="preserve">H3 (exploratory): Chondrolysis and cartilage-related adverse events will demonstrate signal despite Exparel lacking intra-articular approval, reflecting off-label periarticular use in TKA.</w:t>
      </w:r>
    </w:p>
    <w:p>
      <w:pPr>
        <w:pStyle w:val="Heading1"/>
      </w:pPr>
      <w:r>
        <w:t xml:space="preserve">4. Methods</w:t>
      </w:r>
    </w:p>
    <w:p>
      <w:pPr>
        <w:pStyle w:val="Heading2"/>
      </w:pPr>
      <w:r>
        <w:t xml:space="preserve">4.1 Study design</w:t>
      </w:r>
    </w:p>
    <w:p>
      <w:pPr>
        <w:spacing w:after="120"/>
      </w:pPr>
      <w:r>
        <w:t xml:space="preserve">Retrospective observational disproportionality analysis of spontaneous adverse event reports, conducted in accordance with the READUS-PV reporting guideline for disproportionality analyses of pharmacovigilance data (Fusaroli et al., Drug Safety 2024). The study is reported per STROBE where applicable.</w:t>
      </w:r>
    </w:p>
    <w:p>
      <w:pPr>
        <w:pStyle w:val="Heading2"/>
      </w:pPr>
      <w:r>
        <w:t xml:space="preserve">4.2 Data source</w:t>
      </w:r>
    </w:p>
    <w:p>
      <w:pPr>
        <w:spacing w:after="120"/>
      </w:pPr>
      <w:r>
        <w:t xml:space="preserve">FDA Adverse Event Reporting System (FAERS) quarterly ASCII data files, publicly available at fda.gov. Quarterly files contain seven tables: DEMO (demographics), DRUG (drug details), REAC (reactions), OUTC (outcomes), RPSR (report source), THER (therapy dates), INDI (indications). Analysis period: 2012 Q2 through most recent available quarter (typically lagging 3–4 months). The openFDA API provides the same underlying data via JSON and is suitable for pilot exploration but the ASCII files are preferred for the primary analysis given greater control over deduplication.</w:t>
      </w:r>
    </w:p>
    <w:p>
      <w:pPr>
        <w:pStyle w:val="Heading2"/>
      </w:pPr>
      <w:r>
        <w:t xml:space="preserve">4.3 Case definition and deduplication</w:t>
      </w:r>
    </w:p>
    <w:p>
      <w:pPr>
        <w:spacing w:after="120"/>
      </w:pPr>
      <w:r>
        <w:t xml:space="preserve">Primary case definition: a FAERS report in which Exparel or liposomal bupivacaine is listed as a Primary Suspect drug (role_cod = 'PS'). The active comparator is plain bupivacaine (non-liposomal) as Primary Suspect. Drug names are harmonized using:</w:t>
      </w:r>
    </w:p>
    <w:p>
      <w:pPr>
        <w:pStyle w:val="ListParagraph"/>
        <w:numPr>
          <w:ilvl w:val="0"/>
          <w:numId w:val="3"/>
        </w:numPr>
        <w:spacing w:after="60"/>
      </w:pPr>
      <w:r>
        <w:t xml:space="preserve">Brand name strings: EXPAREL (case-insensitive, with variants)</w:t>
      </w:r>
    </w:p>
    <w:p>
      <w:pPr>
        <w:pStyle w:val="ListParagraph"/>
        <w:numPr>
          <w:ilvl w:val="0"/>
          <w:numId w:val="3"/>
        </w:numPr>
        <w:spacing w:after="60"/>
      </w:pPr>
      <w:r>
        <w:t xml:space="preserve">Generic strings: BUPIVACAINE LIPOSOME, LIPOSOMAL BUPIVACAINE, BUPIVACAINE LIPOSOME INJECTABLE SUSPENSION</w:t>
      </w:r>
    </w:p>
    <w:p>
      <w:pPr>
        <w:pStyle w:val="ListParagraph"/>
        <w:numPr>
          <w:ilvl w:val="0"/>
          <w:numId w:val="3"/>
        </w:numPr>
        <w:spacing w:after="60"/>
      </w:pPr>
      <w:r>
        <w:t xml:space="preserve">Comparator (plain bupivacaine): BUPIVACAINE, BUPIVACAINE HYDROCHLORIDE, MARCAINE, SENSORCAINE — explicitly excluding any record matching the liposomal patterns above</w:t>
      </w:r>
    </w:p>
    <w:p>
      <w:pPr>
        <w:spacing w:after="120"/>
      </w:pPr>
      <w:r>
        <w:t xml:space="preserve">Deduplication follows FDA recommendations: (1) retain the record with the most recent FDA_DT for identical CASEIDs; (2) among ties in FDA_DT, retain the record with the highest PRIMARYID; (3) document the proportion of records excluded.</w:t>
      </w:r>
    </w:p>
    <w:p>
      <w:pPr>
        <w:pStyle w:val="Heading2"/>
      </w:pPr>
      <w:r>
        <w:t xml:space="preserve">4.4 Adverse events of interest</w:t>
      </w:r>
    </w:p>
    <w:p>
      <w:pPr>
        <w:spacing w:after="120"/>
      </w:pPr>
      <w:r>
        <w:t xml:space="preserve">Pre-specified adverse events are organized by clinical category. All MedDRA Preferred Terms mapped to each category are analyzed individually; signals are reported at the PT level with System Organ Class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Adverse event category</w:t>
            </w:r>
          </w:p>
        </w:tc>
        <w:tc>
          <w:tcPr>
            <w:tcW w:type="dxa" w:w="312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Representative MedDRA Preferred Terms</w:t>
            </w:r>
          </w:p>
        </w:tc>
        <w:tc>
          <w:tcPr>
            <w:tcW w:type="dxa" w:w="312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Clinical / regulatory rationale</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Prolonged sensory/motor block</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Hypoesthesia; Paraesthesia; Muscular weakness; Neurological symptom; Hemiparesis</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Patient-reported concern; dose-related pharmacokinetics with multivesicular liposome carrier (up to 72–96h)</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Local anaesthetic systemic toxicity (LAST)</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Cardiac arrest; Ventricular arrhythmia; Seizure; Loss of consciousness; Bradycardia</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Regulatory concern; label contraindication for co-administration of non-bupivacaine LAs within 20 min</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Neurotoxicity / nerve injury</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Peripheral nerve injury; Neuralgia; Neuropathy peripheral; Nerve conduction studies abnormal</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Theoretical risk of prolonged perineural exposure; post-PNB neuropraxia signal</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Wound complications</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Wound dehiscence; Wound healing impaired; Wound infection; Incision site complication</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Pre-clinical wound healing signal in FDA review; infiltration use case predominates</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Chondrolysis (off-label intra-articular)</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Cartilage injury; Chondrolysis; Joint destruction</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Historical concern with intra-articular bupivacaine; Exparel not approved for intra-articular use but used off-label in TKA periarticular infiltration</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Administration errors</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Wrong drug administered; Product administered to patient of inappropriate age; Incorrect route of product administration; Medication error; Off-label use</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Prior FDA alerts on wrong-route errors; admixture warning with non-bupivacaine LAs</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Hypersensitivity</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Anaphylactic reaction; Hypersensitivity; Drug eruption; Angioedema</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Standard LA safety signal; excipient (DEPC/DEPG lipids) potential immunogenicity</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Cardiac</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Cardiac arrest; Ventricular tachycardia; Atrial fibrillation; Hypotension; Cardiovascular insufficiency</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Separate from LAST spectrum; captures hemodynamic signals from systemic absorption</w:t>
            </w:r>
          </w:p>
        </w:tc>
      </w:tr>
      <w:tr>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CNS</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Somnolence; Confusional state; Dizziness; Tremor; Visual impairment</w:t>
            </w:r>
          </w:p>
        </w:tc>
        <w:tc>
          <w:tcPr>
            <w:tcW w:type="dxa" w:w="312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Systemic absorption signals; differential dx with LAST precursors</w:t>
            </w:r>
          </w:p>
        </w:tc>
      </w:tr>
    </w:tbl>
    <w:p>
      <w:r>
        <w:t xml:space="preserve"/>
      </w:r>
    </w:p>
    <w:p>
      <w:pPr>
        <w:spacing w:after="120"/>
      </w:pPr>
      <w:r>
        <w:t xml:space="preserve">A comprehensive unrestricted analysis (all PTs) is reported as a supplement to demonstrate absence of hypothesis-chasing for the primary pre-specified list.</w:t>
      </w:r>
    </w:p>
    <w:p>
      <w:pPr>
        <w:pStyle w:val="Heading2"/>
      </w:pPr>
      <w:r>
        <w:t xml:space="preserve">4.5 Disproportionality analysis</w:t>
      </w:r>
    </w:p>
    <w:p>
      <w:pPr>
        <w:spacing w:after="120"/>
      </w:pPr>
      <w:r>
        <w:t xml:space="preserve">For each drug–event pair, a 2×2 contingency table is constructed: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
            </w:r>
          </w:p>
        </w:tc>
        <w:tc>
          <w:tcPr>
            <w:tcW w:type="dxa" w:w="234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Target AE of interest</w:t>
            </w:r>
          </w:p>
        </w:tc>
        <w:tc>
          <w:tcPr>
            <w:tcW w:type="dxa" w:w="234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All other AEs</w:t>
            </w:r>
          </w:p>
        </w:tc>
        <w:tc>
          <w:tcPr>
            <w:tcW w:type="dxa" w:w="234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Row total</w:t>
            </w:r>
          </w:p>
        </w:tc>
      </w:tr>
      <w:tr>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rPr>
                <w:b/>
                <w:bCs/>
              </w:rPr>
              <w:t xml:space="preserve">Exparel (PS)</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a</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a + c</w:t>
            </w:r>
          </w:p>
        </w:tc>
      </w:tr>
      <w:tr>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rPr>
                <w:b/>
                <w:bCs/>
              </w:rPr>
              <w:t xml:space="preserve">Comparator (PS)</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b</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d</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b + d</w:t>
            </w:r>
          </w:p>
        </w:tc>
      </w:tr>
      <w:tr>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rPr>
                <w:b/>
                <w:bCs/>
              </w:rPr>
              <w:t xml:space="preserve">Column total</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a + b</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 + d</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N</w:t>
            </w:r>
          </w:p>
        </w:tc>
      </w:tr>
    </w:tbl>
    <w:p>
      <w:r>
        <w:t xml:space="preserve"/>
      </w:r>
    </w:p>
    <w:p>
      <w:pPr>
        <w:spacing w:after="120"/>
      </w:pPr>
      <w:r>
        <w:t xml:space="preserve">Four disproportionality metrics are computed; a positive signal requires all four to exceed their respective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Metric</w:t>
            </w:r>
          </w:p>
        </w:tc>
        <w:tc>
          <w:tcPr>
            <w:tcW w:type="dxa" w:w="468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Formula / description</w:t>
            </w:r>
          </w:p>
        </w:tc>
        <w:tc>
          <w:tcPr>
            <w:tcW w:type="dxa" w:w="234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Signal threshold</w:t>
            </w:r>
          </w:p>
        </w:tc>
      </w:tr>
      <w:tr>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rPr>
                <w:b/>
                <w:bCs/>
              </w:rPr>
              <w:t xml:space="preserve">ROR (Reporting Odds Ratio)</w:t>
            </w:r>
          </w:p>
        </w:tc>
        <w:tc>
          <w:tcPr>
            <w:tcW w:type="dxa" w:w="468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(a/c) / (b/d); ln-scale 95% CI = ln(ROR) ± 1.96·√(1/a + 1/b + 1/c + 1/d)</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lower 95% CI &gt; 1; n ≥ 3</w:t>
            </w:r>
          </w:p>
        </w:tc>
      </w:tr>
      <w:tr>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rPr>
                <w:b/>
                <w:bCs/>
              </w:rPr>
              <w:t xml:space="preserve">PRR (Proportional Reporting Ratio)</w:t>
            </w:r>
          </w:p>
        </w:tc>
        <w:tc>
          <w:tcPr>
            <w:tcW w:type="dxa" w:w="468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[a/(a+c)] / [b/(b+d)]; χ² statistic (Yates-corrected)</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PRR ≥ 2; χ² ≥ 4; n ≥ 3</w:t>
            </w:r>
          </w:p>
        </w:tc>
      </w:tr>
      <w:tr>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rPr>
                <w:b/>
                <w:bCs/>
              </w:rPr>
              <w:t xml:space="preserve">IC (Information Component, BCPNN)</w:t>
            </w:r>
          </w:p>
        </w:tc>
        <w:tc>
          <w:tcPr>
            <w:tcW w:type="dxa" w:w="468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log₂[(a+0.5) · (N+1) / ((a+c+0.5) · (a+b+0.5))]; IC025 = lower 95% CI by normal approx.</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IC025 &gt; 0</w:t>
            </w:r>
          </w:p>
        </w:tc>
      </w:tr>
      <w:tr>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rPr>
                <w:b/>
                <w:bCs/>
              </w:rPr>
              <w:t xml:space="preserve">EBGM (Empirical Bayes Geometric Mean)</w:t>
            </w:r>
          </w:p>
        </w:tc>
        <w:tc>
          <w:tcPr>
            <w:tcW w:type="dxa" w:w="468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Multi-item Gamma Poisson Shrinker; computed with openEBGM R package or PhViD</w:t>
            </w:r>
          </w:p>
        </w:tc>
        <w:tc>
          <w:tcPr>
            <w:tcW w:type="dxa" w:w="234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EBGM05 &gt; 2</w:t>
            </w:r>
          </w:p>
        </w:tc>
      </w:tr>
    </w:tbl>
    <w:p>
      <w:r>
        <w:t xml:space="preserve"/>
      </w:r>
    </w:p>
    <w:p>
      <w:pPr>
        <w:spacing w:after="120"/>
      </w:pPr>
      <w:r>
        <w:t xml:space="preserve">The active-comparator restricted approach (d = all bupivacaine PS reports minus those with the target AE) is used for the primary analysis, which reduces false-positive signals driven by channeling bias and therapeutic class confounding (Alkabbani et al., Br J Clin Pharmacol 2023). The unrestricted analysis (entire FAERS database as reference) is reported as a sensitivity analysis for comparability with the broader disproportionality literature.</w:t>
      </w:r>
    </w:p>
    <w:p>
      <w:pPr>
        <w:pStyle w:val="Heading2"/>
      </w:pPr>
      <w:r>
        <w:t xml:space="preserve">4.6 Sensitivity analyses</w:t>
      </w:r>
    </w:p>
    <w:p>
      <w:pPr>
        <w:pStyle w:val="ListParagraph"/>
        <w:numPr>
          <w:ilvl w:val="0"/>
          <w:numId w:val="2"/>
        </w:numPr>
        <w:spacing w:after="60"/>
      </w:pPr>
      <w:r>
        <w:t xml:space="preserve">Healthcare-professional reporters only (occp_cod in {MD, PH, OT, RN} vs consumer/lawyer).</w:t>
      </w:r>
    </w:p>
    <w:p>
      <w:pPr>
        <w:pStyle w:val="ListParagraph"/>
        <w:numPr>
          <w:ilvl w:val="0"/>
          <w:numId w:val="2"/>
        </w:numPr>
        <w:spacing w:after="60"/>
      </w:pPr>
      <w:r>
        <w:t xml:space="preserve">Serious reports only (any of: death, life-threatening, hospitalization, disability, congenital anomaly, other serious).</w:t>
      </w:r>
    </w:p>
    <w:p>
      <w:pPr>
        <w:pStyle w:val="ListParagraph"/>
        <w:numPr>
          <w:ilvl w:val="0"/>
          <w:numId w:val="2"/>
        </w:numPr>
        <w:spacing w:after="60"/>
      </w:pPr>
      <w:r>
        <w:t xml:space="preserve">Temporal stratification with interrupted time series around: (a) 2018 nerve block label expansion; (b) Feb 2021 Anesthesiology publication and April 2021 Pacira v. ASA filing; (c) Jan 2025 NOPAIN Act implementation.</w:t>
      </w:r>
    </w:p>
    <w:p>
      <w:pPr>
        <w:pStyle w:val="ListParagraph"/>
        <w:numPr>
          <w:ilvl w:val="0"/>
          <w:numId w:val="2"/>
        </w:numPr>
        <w:spacing w:after="60"/>
      </w:pPr>
      <w:r>
        <w:t xml:space="preserve">Secondary active comparator: ropivacaine.</w:t>
      </w:r>
    </w:p>
    <w:p>
      <w:pPr>
        <w:pStyle w:val="ListParagraph"/>
        <w:numPr>
          <w:ilvl w:val="0"/>
          <w:numId w:val="2"/>
        </w:numPr>
        <w:spacing w:after="60"/>
      </w:pPr>
      <w:r>
        <w:t xml:space="preserve">Exclude reports listing both Exparel and plain bupivacaine as primary or secondary suspects (to reduce co-exposure misclassification).</w:t>
      </w:r>
    </w:p>
    <w:p>
      <w:pPr>
        <w:pStyle w:val="ListParagraph"/>
        <w:numPr>
          <w:ilvl w:val="0"/>
          <w:numId w:val="2"/>
        </w:numPr>
        <w:spacing w:after="60"/>
      </w:pPr>
      <w:r>
        <w:t xml:space="preserve">Exclude reports with consumer-reported reactions only, to minimize the impact of post-litigation notoriety bias (elevated beginning Q2 2021).</w:t>
      </w:r>
    </w:p>
    <w:p>
      <w:pPr>
        <w:pStyle w:val="Heading2"/>
      </w:pPr>
      <w:r>
        <w:t xml:space="preserve">4.7 Statistical software</w:t>
      </w:r>
    </w:p>
    <w:p>
      <w:pPr>
        <w:spacing w:after="120"/>
      </w:pPr>
      <w:r>
        <w:t xml:space="preserve">Analysis performed in Python 3.11 with pandas, numpy, and scipy; disproportionality calculations implemented as custom functions (source code in Appendix B, made available via public GitHub repository on publication). EBGM calculations cross-validated in R using the openEBGM package. All analyses are reproducible from raw FAERS ASCII files via versioned scripts.</w:t>
      </w:r>
    </w:p>
    <w:p>
      <w:pPr>
        <w:pStyle w:val="Heading1"/>
      </w:pPr>
      <w:r>
        <w:t xml:space="preserve">5. Limitations and biases</w:t>
      </w:r>
    </w:p>
    <w:p>
      <w:pPr>
        <w:spacing w:after="120"/>
      </w:pPr>
      <w:r>
        <w:t xml:space="preserve">The study is subject to the well-characterized limitations of all spontaneous reporting system analyses:</w:t>
      </w:r>
    </w:p>
    <w:p>
      <w:pPr>
        <w:pStyle w:val="ListParagraph"/>
        <w:numPr>
          <w:ilvl w:val="0"/>
          <w:numId w:val="3"/>
        </w:numPr>
        <w:spacing w:after="60"/>
      </w:pPr>
      <w:r>
        <w:t xml:space="preserve">Reporting bias: FAERS captures a variable and unquantified fraction of true adverse events; absolute incidence cannot be estimated. The comparator-based design partially mitigates differential reporting between the two drugs.</w:t>
      </w:r>
    </w:p>
    <w:p>
      <w:pPr>
        <w:pStyle w:val="ListParagraph"/>
        <w:numPr>
          <w:ilvl w:val="0"/>
          <w:numId w:val="3"/>
        </w:numPr>
        <w:spacing w:after="60"/>
      </w:pPr>
      <w:r>
        <w:t xml:space="preserve">Weber effect: Reporting rates decline over time post-launch, potentially inflating apparent Exparel signals in the early (2012–2015) window relative to contemporaneous bupivacaine reports. Temporal stratification addresses this.</w:t>
      </w:r>
    </w:p>
    <w:p>
      <w:pPr>
        <w:pStyle w:val="ListParagraph"/>
        <w:numPr>
          <w:ilvl w:val="0"/>
          <w:numId w:val="3"/>
        </w:numPr>
        <w:spacing w:after="60"/>
      </w:pPr>
      <w:r>
        <w:t xml:space="preserve">Notoriety bias: The Feb 2021 Anesthesiology publication, subsequent Pacira litigation, and associated lay press coverage may have stimulated increased consumer reporting for Exparel from Q2 2021 onward. Sensitivity analysis excluding consumer-only reports addresses this.</w:t>
      </w:r>
    </w:p>
    <w:p>
      <w:pPr>
        <w:pStyle w:val="ListParagraph"/>
        <w:numPr>
          <w:ilvl w:val="0"/>
          <w:numId w:val="3"/>
        </w:numPr>
        <w:spacing w:after="60"/>
      </w:pPr>
      <w:r>
        <w:t xml:space="preserve">No denominator: FAERS does not capture total exposures. Exparel's reported ~14 million cumulative exposures vs tens of millions of bupivacaine administrations over the period mean the true exposure ratio is poorly characterized.</w:t>
      </w:r>
    </w:p>
    <w:p>
      <w:pPr>
        <w:pStyle w:val="ListParagraph"/>
        <w:numPr>
          <w:ilvl w:val="0"/>
          <w:numId w:val="3"/>
        </w:numPr>
        <w:spacing w:after="60"/>
      </w:pPr>
      <w:r>
        <w:t xml:space="preserve">No causal inference: Disproportionality signals generate hypotheses, not evidence of causation. Findings are reported using appropriate hedged language per READUS-PV guidance.</w:t>
      </w:r>
    </w:p>
    <w:p>
      <w:pPr>
        <w:pStyle w:val="ListParagraph"/>
        <w:numPr>
          <w:ilvl w:val="0"/>
          <w:numId w:val="3"/>
        </w:numPr>
        <w:spacing w:after="60"/>
      </w:pPr>
      <w:r>
        <w:t xml:space="preserve">Confounding by indication: Exparel is preferentially used in settings (orthopedic, plastic) that differ in baseline AE profiles from general bupivacaine use.</w:t>
      </w:r>
    </w:p>
    <w:p>
      <w:pPr>
        <w:pStyle w:val="ListParagraph"/>
        <w:numPr>
          <w:ilvl w:val="0"/>
          <w:numId w:val="3"/>
        </w:numPr>
        <w:spacing w:after="60"/>
      </w:pPr>
      <w:r>
        <w:t xml:space="preserve">Off-label use: Periarticular infiltration for TKA is common but not FDA-approved; such reports may be under-represented or mis-coded.</w:t>
      </w:r>
    </w:p>
    <w:p>
      <w:pPr>
        <w:pStyle w:val="Heading1"/>
      </w:pPr>
      <w:r>
        <w:t xml:space="preserve">6. Deliverables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Week</w:t>
            </w:r>
          </w:p>
        </w:tc>
        <w:tc>
          <w:tcPr>
            <w:tcW w:type="dxa" w:w="390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Tasks</w:t>
            </w:r>
          </w:p>
        </w:tc>
        <w:tc>
          <w:tcPr>
            <w:tcW w:type="dxa" w:w="3900"/>
            <w:tcBorders>
              <w:top w:val="single" w:color="999999" w:sz="1"/>
              <w:left w:val="single" w:color="999999" w:sz="1"/>
              <w:bottom w:val="single" w:color="999999" w:sz="1"/>
              <w:right w:val="single" w:color="999999" w:sz="1"/>
            </w:tcBorders>
            <w:shd w:fill="1F4E5F" w:val="clear"/>
            <w:tcMar>
              <w:top w:type="dxa" w:w="100"/>
              <w:left w:type="dxa" w:w="140"/>
              <w:bottom w:type="dxa" w:w="100"/>
              <w:right w:type="dxa" w:w="140"/>
            </w:tcMar>
          </w:tcPr>
          <w:p>
            <w:r>
              <w:rPr>
                <w:b/>
                <w:bCs/>
                <w:color w:val="FFFFFF"/>
              </w:rPr>
              <w:t xml:space="preserve">Deliverable</w:t>
            </w:r>
          </w:p>
        </w:tc>
      </w:tr>
      <w:tr>
        <w:tc>
          <w:tcPr>
            <w:tcW w:type="dxa" w:w="156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1</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Environment setup; download FAERS ASCII quarterly files 2012Q2–current; validate ingestion</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Harmonized quarterly SQLite/Parquet dataset</w:t>
            </w:r>
          </w:p>
        </w:tc>
      </w:tr>
      <w:tr>
        <w:tc>
          <w:tcPr>
            <w:tcW w:type="dxa" w:w="156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2</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Deduplication (CASEID + FDA_DT + PRIMARYID); drug-name harmonization (Exparel, liposomal bupivacaine, bupivacaine); role code filter (PS)</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Clean case-drug-reaction long table</w:t>
            </w:r>
          </w:p>
        </w:tc>
      </w:tr>
      <w:tr>
        <w:tc>
          <w:tcPr>
            <w:tcW w:type="dxa" w:w="156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3</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Compute ROR, PRR, IC, EBGM for all AEs; apply signal thresholds; pre-specified AE analysis</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Signal table (primary analysis)</w:t>
            </w:r>
          </w:p>
        </w:tc>
      </w:tr>
      <w:tr>
        <w:tc>
          <w:tcPr>
            <w:tcW w:type="dxa" w:w="156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4</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Sensitivity analyses: HCP-only, serious-only, pre/post 2018 label expansion, pre/post NOPAIN; time-trend plots</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Supplementary tables and figures</w:t>
            </w:r>
          </w:p>
        </w:tc>
      </w:tr>
      <w:tr>
        <w:tc>
          <w:tcPr>
            <w:tcW w:type="dxa" w:w="156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5–6</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Manuscript drafting (READUS-PV/STROBE compliant); figure finalization; internal review</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Manuscript draft + poster draft</w:t>
            </w:r>
          </w:p>
        </w:tc>
      </w:tr>
      <w:tr>
        <w:tc>
          <w:tcPr>
            <w:tcW w:type="dxa" w:w="156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7–8</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Senior author review; revisions; submit poster abstract; manuscript submission prep</w:t>
            </w:r>
          </w:p>
        </w:tc>
        <w:tc>
          <w:tcPr>
            <w:tcW w:type="dxa" w:w="3900"/>
            <w:tcBorders>
              <w:top w:val="single" w:color="999999" w:sz="1"/>
              <w:left w:val="single" w:color="999999" w:sz="1"/>
              <w:bottom w:val="single" w:color="999999" w:sz="1"/>
              <w:right w:val="single" w:color="999999" w:sz="1"/>
            </w:tcBorders>
            <w:tcMar>
              <w:top w:type="dxa" w:w="80"/>
              <w:left w:type="dxa" w:w="140"/>
              <w:bottom w:type="dxa" w:w="80"/>
              <w:right w:type="dxa" w:w="140"/>
            </w:tcMar>
          </w:tcPr>
          <w:p>
            <w:r>
              <w:t xml:space="preserve">Submitted poster abstract; manuscript ready for submission</w:t>
            </w:r>
          </w:p>
        </w:tc>
      </w:tr>
    </w:tbl>
    <w:p>
      <w:r>
        <w:t xml:space="preserve"/>
      </w:r>
    </w:p>
    <w:p>
      <w:pPr>
        <w:pStyle w:val="Heading1"/>
      </w:pPr>
      <w:r>
        <w:t xml:space="preserve">7. Dissemination plan</w:t>
      </w:r>
    </w:p>
    <w:p>
      <w:pPr>
        <w:pStyle w:val="Heading2"/>
      </w:pPr>
      <w:r>
        <w:t xml:space="preserve">7.1 Primary manuscript</w:t>
      </w:r>
    </w:p>
    <w:p>
      <w:pPr>
        <w:spacing w:after="120"/>
      </w:pPr>
      <w:r>
        <w:t xml:space="preserve">Target journals (in order of strategic preference):</w:t>
      </w:r>
    </w:p>
    <w:p>
      <w:pPr>
        <w:pStyle w:val="ListParagraph"/>
        <w:numPr>
          <w:ilvl w:val="0"/>
          <w:numId w:val="2"/>
        </w:numPr>
        <w:spacing w:after="60"/>
      </w:pPr>
      <w:r>
        <w:t xml:space="preserve">Regional Anesthesia &amp; Pain Medicine (RAPM) — optimal fit for subject matter and audience; continues the evidence discourse initiated by Hussain 2021 and Ilfeld 2021.</w:t>
      </w:r>
    </w:p>
    <w:p>
      <w:pPr>
        <w:pStyle w:val="ListParagraph"/>
        <w:numPr>
          <w:ilvl w:val="0"/>
          <w:numId w:val="2"/>
        </w:numPr>
        <w:spacing w:after="60"/>
      </w:pPr>
      <w:r>
        <w:t xml:space="preserve">Anesthesia &amp; Analgesia — broader anesthesia readership; strong pharmacovigilance publication history.</w:t>
      </w:r>
    </w:p>
    <w:p>
      <w:pPr>
        <w:pStyle w:val="ListParagraph"/>
        <w:numPr>
          <w:ilvl w:val="0"/>
          <w:numId w:val="2"/>
        </w:numPr>
        <w:spacing w:after="60"/>
      </w:pPr>
      <w:r>
        <w:t xml:space="preserve">Journal of Clinical Anesthesia — open-access option for rapid dissemination.</w:t>
      </w:r>
    </w:p>
    <w:p>
      <w:pPr>
        <w:pStyle w:val="ListParagraph"/>
        <w:numPr>
          <w:ilvl w:val="0"/>
          <w:numId w:val="2"/>
        </w:numPr>
        <w:spacing w:after="60"/>
      </w:pPr>
      <w:r>
        <w:t xml:space="preserve">Drug Safety — pharmacovigilance-specialist journal if the methodological contribution is the primary emphasis.</w:t>
      </w:r>
    </w:p>
    <w:p>
      <w:pPr>
        <w:pStyle w:val="Heading2"/>
      </w:pPr>
      <w:r>
        <w:t xml:space="preserve">7.2 Poster and presentation</w:t>
      </w:r>
    </w:p>
    <w:p>
      <w:pPr>
        <w:pStyle w:val="ListParagraph"/>
        <w:numPr>
          <w:ilvl w:val="0"/>
          <w:numId w:val="3"/>
        </w:numPr>
        <w:spacing w:after="60"/>
      </w:pPr>
      <w:r>
        <w:t xml:space="preserve">ASA Annual Meeting (abstract deadline typically March–April)</w:t>
      </w:r>
    </w:p>
    <w:p>
      <w:pPr>
        <w:pStyle w:val="ListParagraph"/>
        <w:numPr>
          <w:ilvl w:val="0"/>
          <w:numId w:val="3"/>
        </w:numPr>
        <w:spacing w:after="60"/>
      </w:pPr>
      <w:r>
        <w:t xml:space="preserve">ASRA World Congress on Regional Anesthesia (abstract deadline typically January)</w:t>
      </w:r>
    </w:p>
    <w:p>
      <w:pPr>
        <w:pStyle w:val="ListParagraph"/>
        <w:numPr>
          <w:ilvl w:val="0"/>
          <w:numId w:val="3"/>
        </w:numPr>
        <w:spacing w:after="60"/>
      </w:pPr>
      <w:r>
        <w:t xml:space="preserve">ASRA Pain Medicine Meeting (November)</w:t>
      </w:r>
    </w:p>
    <w:p>
      <w:pPr>
        <w:pStyle w:val="ListParagraph"/>
        <w:numPr>
          <w:ilvl w:val="0"/>
          <w:numId w:val="3"/>
        </w:numPr>
        <w:spacing w:after="60"/>
      </w:pPr>
      <w:r>
        <w:t xml:space="preserve">California Society of Anesthesiologists Annual Meeting (regional dissemination)</w:t>
      </w:r>
    </w:p>
    <w:p>
      <w:pPr>
        <w:pStyle w:val="Heading2"/>
      </w:pPr>
      <w:r>
        <w:t xml:space="preserve">7.3 Complementary outputs</w:t>
      </w:r>
    </w:p>
    <w:p>
      <w:pPr>
        <w:pStyle w:val="ListParagraph"/>
        <w:numPr>
          <w:ilvl w:val="0"/>
          <w:numId w:val="3"/>
        </w:numPr>
        <w:spacing w:after="60"/>
      </w:pPr>
      <w:r>
        <w:t xml:space="preserve">LinkedIn article summarizing findings for a clinician audience</w:t>
      </w:r>
    </w:p>
    <w:p>
      <w:pPr>
        <w:pStyle w:val="ListParagraph"/>
        <w:numPr>
          <w:ilvl w:val="0"/>
          <w:numId w:val="3"/>
        </w:numPr>
        <w:spacing w:after="60"/>
      </w:pPr>
      <w:r>
        <w:t xml:space="preserve">Substack long-form commentary placing findings in the sales–policy–evidence context (non-promotional, commentary/analysis framing)</w:t>
      </w:r>
    </w:p>
    <w:p>
      <w:pPr>
        <w:pStyle w:val="ListParagraph"/>
        <w:numPr>
          <w:ilvl w:val="0"/>
          <w:numId w:val="3"/>
        </w:numPr>
        <w:spacing w:after="60"/>
      </w:pPr>
      <w:r>
        <w:t xml:space="preserve">Departmental grand rounds or journal club presentation at UC Davis Health</w:t>
      </w:r>
    </w:p>
    <w:p>
      <w:pPr>
        <w:pStyle w:val="Heading1"/>
      </w:pPr>
      <w:r>
        <w:t xml:space="preserve">8. Ethical and regulatory considerations</w:t>
      </w:r>
    </w:p>
    <w:p>
      <w:pPr>
        <w:spacing w:after="120"/>
      </w:pPr>
      <w:r>
        <w:t xml:space="preserve">This study uses publicly available, fully de-identified aggregated data from the FDA Adverse Event Reporting System and does not constitute human subjects research under 45 CFR 46. Per UC Davis IRB policy, secondary analysis of publicly available de-identified data is typically exempt or does not require IRB review; a formal determination letter will be sought prior to manuscript submission.</w:t>
      </w:r>
    </w:p>
    <w:p>
      <w:pPr>
        <w:spacing w:after="120"/>
      </w:pPr>
      <w:r>
        <w:t xml:space="preserve">Conflict of interest disclosure: The investigator declares no financial relationship with Pacira BioSciences, the American Society of Anesthesiologists, or any manufacturer of peripheral nerve block equipment or local anesthetic products. All disclosures will be made per ICMJE and target-journal requirements.</w:t>
      </w:r>
    </w:p>
    <w:p>
      <w:pPr>
        <w:spacing w:after="120"/>
      </w:pPr>
      <w:r>
        <w:t xml:space="preserve">Data availability: All analysis code will be deposited in a public GitHub repository on acceptance. Derived datasets sufficient to reproduce all primary and sensitivity analyses will be provided per journal requirements; raw FAERS files are publicly available from FDA.</w:t>
      </w:r>
    </w:p>
    <w:p>
      <w:r>
        <w:br w:type="page"/>
      </w:r>
    </w:p>
    <w:p>
      <w:pPr>
        <w:pStyle w:val="Heading1"/>
      </w:pPr>
      <w:r>
        <w:t xml:space="preserve">Appendix A — Key references</w:t>
      </w:r>
    </w:p>
    <w:p>
      <w:pPr>
        <w:pStyle w:val="ListParagraph"/>
        <w:numPr>
          <w:ilvl w:val="0"/>
          <w:numId w:val="3"/>
        </w:numPr>
        <w:spacing w:after="60"/>
      </w:pPr>
      <w:r>
        <w:t xml:space="preserve">Hussain N, et al. Perineural Liposomal Bupivacaine Is Not Superior to Nonliposomal Bupivacaine for Peripheral Nerve Block Analgesia. Anesthesiology 2021;134:147–164.</w:t>
      </w:r>
    </w:p>
    <w:p>
      <w:pPr>
        <w:pStyle w:val="ListParagraph"/>
        <w:numPr>
          <w:ilvl w:val="0"/>
          <w:numId w:val="3"/>
        </w:numPr>
        <w:spacing w:after="60"/>
      </w:pPr>
      <w:r>
        <w:t xml:space="preserve">Ilfeld BM, et al. Clinical Effectiveness of Liposomal Bupivacaine Administered by Infiltration or Peripheral Nerve Block to Treat Postoperative Pain: A Narrative Review. Anesthesiology 2021;134:283–344.</w:t>
      </w:r>
    </w:p>
    <w:p>
      <w:pPr>
        <w:pStyle w:val="ListParagraph"/>
        <w:numPr>
          <w:ilvl w:val="0"/>
          <w:numId w:val="3"/>
        </w:numPr>
        <w:spacing w:after="60"/>
      </w:pPr>
      <w:r>
        <w:t xml:space="preserve">McCann ME. Liposomal Bupivacaine. Anesthesiology 2021;134:139–142 (editorial).</w:t>
      </w:r>
    </w:p>
    <w:p>
      <w:pPr>
        <w:pStyle w:val="ListParagraph"/>
        <w:numPr>
          <w:ilvl w:val="0"/>
          <w:numId w:val="3"/>
        </w:numPr>
        <w:spacing w:after="60"/>
      </w:pPr>
      <w:r>
        <w:t xml:space="preserve">Pacira Biosciences Inc v. American Society of Anesthesiologists Inc, No. 22-1411 (3d Cir. 2023).</w:t>
      </w:r>
    </w:p>
    <w:p>
      <w:pPr>
        <w:pStyle w:val="ListParagraph"/>
        <w:numPr>
          <w:ilvl w:val="0"/>
          <w:numId w:val="3"/>
        </w:numPr>
        <w:spacing w:after="60"/>
      </w:pPr>
      <w:r>
        <w:t xml:space="preserve">Fusaroli M, et al. The REporting of A Disproportionality analysis for drUg Safety signal detection using individual case safety reports in PharmacoVigilance (READUS-PV): development and statement. Drug Safety 2024.</w:t>
      </w:r>
    </w:p>
    <w:p>
      <w:pPr>
        <w:pStyle w:val="ListParagraph"/>
        <w:numPr>
          <w:ilvl w:val="0"/>
          <w:numId w:val="3"/>
        </w:numPr>
        <w:spacing w:after="60"/>
      </w:pPr>
      <w:r>
        <w:t xml:space="preserve">Alkabbani W, Gamble J-M. Active-comparator restricted disproportionality analysis for pharmacovigilance signal detection studies of chronic disease medications. Br J Clin Pharmacol 2023.</w:t>
      </w:r>
    </w:p>
    <w:p>
      <w:pPr>
        <w:pStyle w:val="ListParagraph"/>
        <w:numPr>
          <w:ilvl w:val="0"/>
          <w:numId w:val="3"/>
        </w:numPr>
        <w:spacing w:after="60"/>
      </w:pPr>
      <w:r>
        <w:t xml:space="preserve">Evans SJW, Waller PC, Davis S. Use of proportional reporting ratios (PRRs) for signal generation from spontaneous adverse drug reaction reports. Pharmacoepidemiol Drug Saf 2001;10:483–486.</w:t>
      </w:r>
    </w:p>
    <w:p>
      <w:pPr>
        <w:pStyle w:val="ListParagraph"/>
        <w:numPr>
          <w:ilvl w:val="0"/>
          <w:numId w:val="3"/>
        </w:numPr>
        <w:spacing w:after="60"/>
      </w:pPr>
      <w:r>
        <w:t xml:space="preserve">Bate A, Evans SJW. Quantitative signal detection using spontaneous ADR reporting. Pharmacoepidemiol Drug Saf 2009;18:427–436.</w:t>
      </w:r>
    </w:p>
    <w:p>
      <w:pPr>
        <w:pStyle w:val="ListParagraph"/>
        <w:numPr>
          <w:ilvl w:val="0"/>
          <w:numId w:val="3"/>
        </w:numPr>
        <w:spacing w:after="60"/>
      </w:pPr>
      <w:r>
        <w:t xml:space="preserve">FDA. Data Mining at FDA — White Paper. fda.gov/science-research/data-mining.</w:t>
      </w:r>
    </w:p>
    <w:p>
      <w:pPr>
        <w:pStyle w:val="Heading1"/>
      </w:pPr>
      <w:r>
        <w:t xml:space="preserve">Appendix B — Computational environment</w:t>
      </w:r>
    </w:p>
    <w:p>
      <w:pPr>
        <w:spacing w:after="120"/>
      </w:pPr>
      <w:r>
        <w:t xml:space="preserve">Python 3.11, pandas ≥ 2.0, numpy ≥ 1.25, scipy ≥ 1.11, matplotlib/seaborn for visualization, requests for API access. Optional: R 4.3 with openEBGM for EBGM cross-validation. Environment managed with uv or conda; full requirements.txt provided in the project repository. Analysis performed locally (Mac Mini) with sufficient memory (≥16 GB recommended) for full FAERS ingestion.</w:t>
      </w:r>
    </w:p>
    <w:p>
      <w:pPr>
        <w:pStyle w:val="Heading1"/>
      </w:pPr>
      <w:r>
        <w:t xml:space="preserve">Appendix C — Drug-name harmonization dictionary</w:t>
      </w:r>
    </w:p>
    <w:p>
      <w:pPr>
        <w:spacing w:after="120"/>
      </w:pPr>
      <w:r>
        <w:t xml:space="preserve">Exparel / liposomal bupivacaine regex pattern (case-insensitive):</w:t>
      </w:r>
    </w:p>
    <w:p>
      <w:pPr>
        <w:spacing w:after="120"/>
      </w:pPr>
      <w:r>
        <w:rPr>
          <w:rFonts w:ascii="Consolas" w:cs="Consolas" w:eastAsia="Consolas" w:hAnsi="Consolas"/>
          <w:sz w:val="20"/>
          <w:szCs w:val="20"/>
        </w:rPr>
        <w:t xml:space="preserve">\b(exparel|bupivacaine\s+liposom(e|al)(\s+injectable\s+suspension)?|liposomal\s+bupivacaine)\b</w:t>
      </w:r>
    </w:p>
    <w:p>
      <w:pPr>
        <w:spacing w:after="120"/>
      </w:pPr>
      <w:r>
        <w:t xml:space="preserve">Plain bupivacaine regex (case-insensitive), after exclusion of any record matching the liposomal pattern above:</w:t>
      </w:r>
    </w:p>
    <w:p>
      <w:pPr>
        <w:spacing w:after="120"/>
      </w:pPr>
      <w:r>
        <w:rPr>
          <w:rFonts w:ascii="Consolas" w:cs="Consolas" w:eastAsia="Consolas" w:hAnsi="Consolas"/>
          <w:sz w:val="20"/>
          <w:szCs w:val="20"/>
        </w:rPr>
        <w:t xml:space="preserve">\b(bupivacaine(\s+hydrochloride|\s+hcl)?|marcaine|sensorcaine)\b</w:t>
      </w:r>
    </w:p>
    <w:p>
      <w:pPr>
        <w:spacing w:after="120"/>
      </w:pPr>
      <w:r>
        <w:t xml:space="preserve">All drug-name matching is performed on the DRUGNAME, PROD_AI, and (where available) openfda.generic_name fields. Records with ambiguous matches are reviewed manually and flagged in the reproducibility dataset.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FAERS Exparel Disproportionality Study — Protocol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1F4E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86AB"/>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FAERS Exparel Disproportionality Study Protocol</dc:title>
  <dc:creator>R. Aldwinckle</dc:creator>
  <cp:lastModifiedBy>Un-named</cp:lastModifiedBy>
  <cp:revision>1</cp:revision>
  <dcterms:created xsi:type="dcterms:W3CDTF">2026-04-18T19:57:01.967Z</dcterms:created>
  <dcterms:modified xsi:type="dcterms:W3CDTF">2026-04-18T19:57:01.968Z</dcterms:modified>
</cp:coreProperties>
</file>

<file path=docProps/custom.xml><?xml version="1.0" encoding="utf-8"?>
<Properties xmlns="http://schemas.openxmlformats.org/officeDocument/2006/custom-properties" xmlns:vt="http://schemas.openxmlformats.org/officeDocument/2006/docPropsVTypes"/>
</file>