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Robin Aldwinckle, BMBS, FRCA</w:t>
      </w:r>
    </w:p>
    <w:p>
      <w:pPr>
        <w:spacing w:after="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Clinical Professor of Anesthesiology</w:t>
      </w:r>
    </w:p>
    <w:p>
      <w:pPr>
        <w:spacing w:after="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Department of Anesthesiology and Pain Medicine</w:t>
      </w:r>
    </w:p>
    <w:p>
      <w:pPr>
        <w:spacing w:after="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UC Davis Health, Sacramento, California, USA</w:t>
      </w:r>
    </w:p>
    <w:p>
      <w:pPr>
        <w:spacing w:after="24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rjaldwinckle@health.ucdavis.edu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13 May 2026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Professor Dr Stephen J.W. Evans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Editor-in-Chief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Drug Safety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Adis (Springer Nature)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</w:t>
      </w:r>
      <w:r>
        <w:rPr>
          <w:rFonts w:ascii="Calibri" w:cs="Calibri" w:eastAsia="Calibri" w:hAnsi="Calibri"/>
          <w:sz w:val="22"/>
          <w:szCs w:val="22"/>
        </w:rPr>
        <w:t xml:space="preserve">Submission of original research manuscript — “Liposomal Bupivacaine (Exparel®) and Prolonged Sensory/Motor Block: A Disproportionality Analysis of FAERS 2012–2025”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Professor Evans,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am pleased to submit the enclosed original research manuscript for consideration in Drug Safety. The study is an active-comparator disproportionality analysis of liposomal bupivacaine (Exparel®) using thirteen years of FDA Adverse Event Reporting System (FAERS) data (2012 Q4 – 2025 Q4), with three pre-specified analytical features designed to address recurring methodological criticisms of single-drug disproportionality studies.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Prior pharmacovigilance work on Exparel reported an association with local anesthetic systemic toxicity (LAST) using a whole-database comparator and early post-launch data, and a recent 2025 whole-database analysis reported 58 positive signals over 2004–2024. Neither has tested whether reported signals persist when the active comparator is the parent compound (plain bupivacaine), whether they survive era-matched stratification across the labelling and publication eras that shaped reporting behaviour, or whether they are robust to a pre-specified separation between Preferred Terms that reflect expected drug action and those that imply anatomic injury. The present study addresses these three gaps.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Three findings appear central. First, Exparel was disproportionately associated with prolonged sensory/motor block versus plain bupivacaine across both modern reporting eras (2018–2020 ROR 4.52, 95% CI 3.24–6.30; 2021+ ROR 2.26, 95% CI 1.69–3.03), with four PT-level signals persisting across sensitivity analyses (peroneal nerve palsy, hypoaesthesia, paraesthesia, hypoaesthesia oral). Second, the pre-specified pathology-implying sub-stratum continued to signal under serious-outcome restriction (ROR 2.20, 95% CI 1.45–3.34), arguing that the signal does not reduce to expected prolonged pharmacology alone. Third, the previously reported LAST signal inverted under era-matched comparators (pre-2018 ROR 3.69 → 2018–2020 ROR 0.67, 95% CI 0.51–0.89), suggesting an era-confined reporting artifact rather than a durable cardiotoxicity excess; the ropivacaine comparison was null to inverse throughout.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believe the manuscript fits Drug Safety’s scope and readership for three reasons. The active-comparator design (per the Alkabbani and Gamble framework) and pre-specified pathology-vs-pharmacology Preferred Term partition speak directly to the methodological reform agenda the journal has championed in pharmacovigilance signal detection. The era-matched stratification surfaces a finding that is invisible to all-time pooled analyses and reframes the existing literature on a widely used drug. The single drug being analysed (liposomal bupivacaine) is currently the subject of significant clinical, regulatory, and commercial attention, including the recent NOPAIN Act, ongoing CMS J0666 pass-through reimbursement, and the 2023 Pacira v. ASA litigation.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Reporting follows the READUS-PV checklist (Fusaroli et al. 2024) and is supplemented by STROBE where applicable; the completed checklist is included with this submission. The full analysis code is publicly archived at GitHub (https://github.com/bobsterbeat/faers-exparel-study) and Zenodo (DOI: 10.5281/zenodo.19656699). All FAERS data are public, and the manuscript reports the FAERS reference (https://fis.fda.gov/extensions/FPD-QDE-FAERS/), the date of accession, and the exact deduplication rules used.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manuscript is original, has not been published previously, and is not under consideration elsewhere. The study used only de-identified publicly available data and qualified as non-human-subjects research under U.S. federal regulations; institutional review was therefore not required. The author has no financial or non-financial conflicts of interest relevant to this work, and no financial relationship with Pacira BioSciences or any manufacturer of bupivacaine or ropivacaine formulations. This is a single-author submission. A large language model (Anthropic Claude) was used as an assistive tool for code review, copy-editing, and figure generation; the author verified all content and accepts full responsibility for the work.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would be grateful for the editorial board’s consideration of this work, and I am happy to provide any additional information or revisions the review process may require.</w:t>
      </w:r>
    </w:p>
    <w:p>
      <w:pPr>
        <w:spacing w:after="0" w:before="80"/>
      </w:pPr>
      <w:r>
        <w:rPr>
          <w:rFonts w:ascii="Calibri" w:cs="Calibri" w:eastAsia="Calibri" w:hAnsi="Calibri"/>
          <w:sz w:val="22"/>
          <w:szCs w:val="22"/>
        </w:rPr>
        <w:t xml:space="preserve">With kind regards,</w:t>
      </w:r>
    </w:p>
    <w:p>
      <w:pPr>
        <w:spacing w:after="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Robin Aldwinckle, BMBS, FRCA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Clinical Professor of Anesthesiology, UC Davis Health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ORCID: 0009-0007-3148-6620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2026-05-13T03:12:17.103Z</dcterms:created>
  <dcterms:modified xsi:type="dcterms:W3CDTF">2026-05-13T03:12:17.103Z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