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i/>
          <w:iCs/>
          <w:color w:val="666666"/>
          <w:sz w:val="20"/>
          <w:szCs w:val="20"/>
        </w:rPr>
        <w:t xml:space="preserve">Title Page</w:t>
      </w:r>
    </w:p>
    <w:p>
      <w:pPr>
        <w:spacing w:after="240" w:before="60" w:line="300"/>
        <w:jc w:val="center"/>
      </w:pPr>
      <w:r>
        <w:rPr>
          <w:rFonts w:ascii="Calibri" w:cs="Calibri" w:eastAsia="Calibri" w:hAnsi="Calibri"/>
          <w:b/>
          <w:bCs/>
          <w:sz w:val="28"/>
          <w:szCs w:val="28"/>
        </w:rPr>
        <w:t xml:space="preserve">Liposomal Bupivacaine (Exparel®) and Prolonged Sensory/Motor Block: A Disproportionality Analysis of FAERS 2012–2025</w:t>
      </w:r>
    </w:p>
    <w:p>
      <w:pPr>
        <w:spacing w:after="60"/>
        <w:jc w:val="center"/>
      </w:pPr>
      <w:r>
        <w:rPr>
          <w:rFonts w:ascii="Calibri" w:cs="Calibri" w:eastAsia="Calibri" w:hAnsi="Calibri"/>
          <w:b/>
          <w:bCs/>
          <w:sz w:val="22"/>
          <w:szCs w:val="22"/>
        </w:rPr>
        <w:t xml:space="preserve">Robin Aldwinckle, BMBS, FRCA</w:t>
      </w:r>
    </w:p>
    <w:p>
      <w:pPr>
        <w:spacing w:after="60"/>
        <w:jc w:val="center"/>
      </w:pPr>
      <w:r>
        <w:rPr>
          <w:rFonts w:ascii="Calibri" w:cs="Calibri" w:eastAsia="Calibri" w:hAnsi="Calibri"/>
          <w:sz w:val="20"/>
          <w:szCs w:val="20"/>
        </w:rPr>
        <w:t xml:space="preserve">ORCID: 0009-0007-3148-6620</w:t>
      </w:r>
    </w:p>
    <w:p>
      <w:pPr>
        <w:spacing w:after="60"/>
        <w:jc w:val="center"/>
      </w:pPr>
      <w:r>
        <w:rPr>
          <w:rFonts w:ascii="Calibri" w:cs="Calibri" w:eastAsia="Calibri" w:hAnsi="Calibri"/>
          <w:sz w:val="20"/>
          <w:szCs w:val="20"/>
        </w:rPr>
        <w:t xml:space="preserve">Department of Anesthesiology and Pain Medicine, UC Davis Health</w:t>
      </w:r>
    </w:p>
    <w:p>
      <w:pPr>
        <w:spacing w:after="240"/>
        <w:jc w:val="center"/>
      </w:pPr>
      <w:r>
        <w:rPr>
          <w:rFonts w:ascii="Calibri" w:cs="Calibri" w:eastAsia="Calibri" w:hAnsi="Calibri"/>
          <w:sz w:val="20"/>
          <w:szCs w:val="20"/>
        </w:rPr>
        <w:t xml:space="preserve">4150 V Street, Suite 1200, Sacramento, California 95817, USA</w:t>
      </w:r>
    </w:p>
    <w:p>
      <w:pPr>
        <w:spacing w:after="60" w:before="60"/>
        <w:jc w:val="center"/>
      </w:pPr>
      <w:r>
        <w:rPr>
          <w:rFonts w:ascii="Calibri" w:cs="Calibri" w:eastAsia="Calibri" w:hAnsi="Calibri"/>
          <w:sz w:val="20"/>
          <w:szCs w:val="20"/>
        </w:rPr>
        <w:t xml:space="preserve">Corresponding author: Robin Aldwinckle  ·  rjaldwinckle@health.ucdavis.edu</w:t>
      </w:r>
    </w:p>
    <w:p>
      <w:pPr>
        <w:pBdr>
          <w:bottom w:val="single" w:color="CCCCCC" w:sz="6" w:space="1"/>
        </w:pBdr>
        <w:spacing w:after="120" w:before="120"/>
      </w:pPr>
    </w:p>
    <w:p>
      <w:pPr>
        <w:spacing w:after="100"/>
        <w:jc w:val="center"/>
      </w:pPr>
      <w:r>
        <w:rPr>
          <w:rFonts w:ascii="Calibri" w:cs="Calibri" w:eastAsia="Calibri" w:hAnsi="Calibri"/>
          <w:sz w:val="20"/>
          <w:szCs w:val="20"/>
        </w:rPr>
        <w:t xml:space="preserve">Abstract: 381 words  ·  Main text: 4,074 words  ·  Tables: 3  ·  Figures: 4  ·  References: 25</w:t>
      </w:r>
    </w:p>
    <w:p>
      <w:pPr>
        <w:spacing w:after="100"/>
        <w:jc w:val="center"/>
      </w:pPr>
      <w:r>
        <w:rPr>
          <w:rFonts w:ascii="Calibri" w:cs="Calibri" w:eastAsia="Calibri" w:hAnsi="Calibri"/>
          <w:sz w:val="20"/>
          <w:szCs w:val="20"/>
        </w:rPr>
        <w:t xml:space="preserve">Reporting guideline: READUS-PV (Fusaroli et al. 2024), supplemented by STROBE where applicable</w:t>
      </w:r>
    </w:p>
    <w:p>
      <w:pPr>
        <w:spacing w:after="60" w:before="200"/>
      </w:pPr>
      <w:r>
        <w:rPr>
          <w:rFonts w:ascii="Calibri" w:cs="Calibri" w:eastAsia="Calibri" w:hAnsi="Calibri"/>
          <w:b/>
          <w:bCs/>
          <w:sz w:val="22"/>
          <w:szCs w:val="22"/>
        </w:rPr>
        <w:t xml:space="preserve">Declarations</w:t>
      </w:r>
    </w:p>
    <w:p>
      <w:pPr>
        <w:spacing w:after="60"/>
      </w:pPr>
      <w:r>
        <w:rPr>
          <w:rFonts w:ascii="Calibri" w:cs="Calibri" w:eastAsia="Calibri" w:hAnsi="Calibri"/>
          <w:b/>
          <w:bCs/>
          <w:sz w:val="22"/>
          <w:szCs w:val="22"/>
        </w:rPr>
        <w:t xml:space="preserve">Funding. </w:t>
      </w:r>
      <w:r>
        <w:rPr>
          <w:rFonts w:ascii="Calibri" w:cs="Calibri" w:eastAsia="Calibri" w:hAnsi="Calibri"/>
          <w:sz w:val="22"/>
          <w:szCs w:val="22"/>
        </w:rPr>
        <w:t xml:space="preserve">No external funding was received for this work. The author conducted this study independently using publicly available FDA Adverse Event Reporting System (FAERS) data.</w:t>
      </w:r>
    </w:p>
    <w:p>
      <w:pPr>
        <w:spacing w:after="60"/>
      </w:pPr>
      <w:r>
        <w:rPr>
          <w:rFonts w:ascii="Calibri" w:cs="Calibri" w:eastAsia="Calibri" w:hAnsi="Calibri"/>
          <w:b/>
          <w:bCs/>
          <w:sz w:val="22"/>
          <w:szCs w:val="22"/>
        </w:rPr>
        <w:t xml:space="preserve">Conflicts of interest. </w:t>
      </w:r>
      <w:r>
        <w:rPr>
          <w:rFonts w:ascii="Calibri" w:cs="Calibri" w:eastAsia="Calibri" w:hAnsi="Calibri"/>
          <w:sz w:val="22"/>
          <w:szCs w:val="22"/>
        </w:rPr>
        <w:t xml:space="preserve">The author declares no financial or non-financial conflicts of interest relevant to this work. The author is a Clinical Professor of Anesthesiology at the University of California, Davis. He has no financial relationship with Pacira BioSciences or any manufacturer of bupivacaine or ropivacaine formulations.</w:t>
      </w:r>
    </w:p>
    <w:p>
      <w:pPr>
        <w:spacing w:after="60"/>
      </w:pPr>
      <w:r>
        <w:rPr>
          <w:rFonts w:ascii="Calibri" w:cs="Calibri" w:eastAsia="Calibri" w:hAnsi="Calibri"/>
          <w:b/>
          <w:bCs/>
          <w:sz w:val="22"/>
          <w:szCs w:val="22"/>
        </w:rPr>
        <w:t xml:space="preserve">Ethics approval. </w:t>
      </w:r>
      <w:r>
        <w:rPr>
          <w:rFonts w:ascii="Calibri" w:cs="Calibri" w:eastAsia="Calibri" w:hAnsi="Calibri"/>
          <w:sz w:val="22"/>
          <w:szCs w:val="22"/>
        </w:rPr>
        <w:t xml:space="preserve">This study analyzed only de-identified, publicly available FAERS records and qualifies as non-human-subjects research under U.S. federal regulations (45 CFR 46.102). Institutional Review Board approval was therefore not required. The study complies with the Declaration of Helsinki.</w:t>
      </w:r>
    </w:p>
    <w:p>
      <w:pPr>
        <w:spacing w:after="60"/>
      </w:pPr>
      <w:r>
        <w:rPr>
          <w:rFonts w:ascii="Calibri" w:cs="Calibri" w:eastAsia="Calibri" w:hAnsi="Calibri"/>
          <w:b/>
          <w:bCs/>
          <w:sz w:val="22"/>
          <w:szCs w:val="22"/>
        </w:rPr>
        <w:t xml:space="preserve">Consent. </w:t>
      </w:r>
      <w:r>
        <w:rPr>
          <w:rFonts w:ascii="Calibri" w:cs="Calibri" w:eastAsia="Calibri" w:hAnsi="Calibri"/>
          <w:sz w:val="22"/>
          <w:szCs w:val="22"/>
        </w:rPr>
        <w:t xml:space="preserve">Not applicable. The study used only de-identified spontaneous reports; no individual participant data identifying any patient is contained in the manuscript.</w:t>
      </w:r>
    </w:p>
    <w:p>
      <w:pPr>
        <w:spacing w:after="60"/>
      </w:pPr>
      <w:r>
        <w:rPr>
          <w:rFonts w:ascii="Calibri" w:cs="Calibri" w:eastAsia="Calibri" w:hAnsi="Calibri"/>
          <w:b/>
          <w:bCs/>
          <w:sz w:val="22"/>
          <w:szCs w:val="22"/>
        </w:rPr>
        <w:t xml:space="preserve">Data availability. </w:t>
      </w:r>
      <w:r>
        <w:rPr>
          <w:rFonts w:ascii="Calibri" w:cs="Calibri" w:eastAsia="Calibri" w:hAnsi="Calibri"/>
          <w:sz w:val="22"/>
          <w:szCs w:val="22"/>
        </w:rPr>
        <w:t xml:space="preserve">All source data are publicly available from the FDA Adverse Event Reporting System (FAERS) Quarterly Data Extract Files (https://fis.fda.gov/extensions/FPD-QDE-FAERS/). Processed analytical datasets and full Supplementary Tables S1–S7 are deposited at Zenodo (DOI: 10.5281/zenodo.19656699).</w:t>
      </w:r>
    </w:p>
    <w:p>
      <w:pPr>
        <w:spacing w:after="60"/>
      </w:pPr>
      <w:r>
        <w:rPr>
          <w:rFonts w:ascii="Calibri" w:cs="Calibri" w:eastAsia="Calibri" w:hAnsi="Calibri"/>
          <w:b/>
          <w:bCs/>
          <w:sz w:val="22"/>
          <w:szCs w:val="22"/>
        </w:rPr>
        <w:t xml:space="preserve">Code availability. </w:t>
      </w:r>
      <w:r>
        <w:rPr>
          <w:rFonts w:ascii="Calibri" w:cs="Calibri" w:eastAsia="Calibri" w:hAnsi="Calibri"/>
          <w:sz w:val="22"/>
          <w:szCs w:val="22"/>
        </w:rPr>
        <w:t xml:space="preserve">All analysis code (Python and R) is publicly available at https://github.com/bobsterbeat/faers-exparel-study under an MIT license, and archived at Zenodo (DOI above) with a permanent identifier matching the version used to produce the results reported here.</w:t>
      </w:r>
    </w:p>
    <w:p>
      <w:pPr>
        <w:spacing w:after="60"/>
      </w:pPr>
      <w:r>
        <w:rPr>
          <w:rFonts w:ascii="Calibri" w:cs="Calibri" w:eastAsia="Calibri" w:hAnsi="Calibri"/>
          <w:b/>
          <w:bCs/>
          <w:sz w:val="22"/>
          <w:szCs w:val="22"/>
        </w:rPr>
        <w:t xml:space="preserve">Author contributions. </w:t>
      </w:r>
      <w:r>
        <w:rPr>
          <w:rFonts w:ascii="Calibri" w:cs="Calibri" w:eastAsia="Calibri" w:hAnsi="Calibri"/>
          <w:sz w:val="22"/>
          <w:szCs w:val="22"/>
        </w:rPr>
        <w:t xml:space="preserve">Single-author submission. Robin Aldwinckle conceived the study, designed the analysis, acquired and processed the data, performed all statistical analyses, interpreted the results, and drafted and revised the manuscript. The author has read and approved the final manuscript.</w:t>
      </w:r>
    </w:p>
    <w:p>
      <w:pPr>
        <w:spacing w:after="60"/>
      </w:pPr>
      <w:r>
        <w:rPr>
          <w:rFonts w:ascii="Calibri" w:cs="Calibri" w:eastAsia="Calibri" w:hAnsi="Calibri"/>
          <w:b/>
          <w:bCs/>
          <w:sz w:val="22"/>
          <w:szCs w:val="22"/>
        </w:rPr>
        <w:t xml:space="preserve">Use of large language models. </w:t>
      </w:r>
      <w:r>
        <w:rPr>
          <w:rFonts w:ascii="Calibri" w:cs="Calibri" w:eastAsia="Calibri" w:hAnsi="Calibri"/>
          <w:sz w:val="22"/>
          <w:szCs w:val="22"/>
        </w:rPr>
        <w:t xml:space="preserve">A large language model (Anthropic Claude) was used as an assistive tool for code review, copy-editing, and figure generation. The author verified all content, results, and references and accepts full responsibility for the work.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2026-05-13T03:11:22.808Z</dcterms:created>
  <dcterms:modified xsi:type="dcterms:W3CDTF">2026-05-13T03:11:22.809Z</dcterms:modified>
</cp:coreProperties>
</file>

<file path=docProps/custom.xml><?xml version="1.0" encoding="utf-8"?>
<Properties xmlns="http://schemas.openxmlformats.org/officeDocument/2006/custom-properties" xmlns:vt="http://schemas.openxmlformats.org/officeDocument/2006/docPropsVTypes"/>
</file>