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Default Extension="png" ContentType="image/png"/>
  <Default Extension="pict" ContentType="image/pict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Default Extension="xml" ContentType="application/xml"/>
  <Override PartName="/word/fontTable.xml" ContentType="application/vnd.openxmlformats-officedocument.wordprocessingml.fontTable+xml"/>
  <Override PartName="/word/footer1.xml" ContentType="application/vnd.openxmlformats-officedocument.wordprocessingml.footer+xml"/>
  <Default Extension="wmf" ContentType="image/x-wmf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Default Extension="bin" ContentType="application/vnd.openxmlformats-officedocument.oleObject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6C1" w:rsidRDefault="005936C1" w:rsidP="005936C1"/>
    <w:p w:rsidR="005936C1" w:rsidRPr="005303A5" w:rsidRDefault="005936C1" w:rsidP="005936C1">
      <w:pPr>
        <w:pStyle w:val="CaseTitle"/>
        <w:jc w:val="left"/>
        <w:rPr>
          <w:b/>
          <w:bCs/>
          <w:color w:val="999999"/>
          <w:sz w:val="52"/>
          <w:szCs w:val="52"/>
        </w:rPr>
      </w:pPr>
      <w:r>
        <w:rPr>
          <w:b/>
          <w:bCs/>
          <w:sz w:val="52"/>
          <w:szCs w:val="52"/>
        </w:rPr>
        <w:t xml:space="preserve">Module </w:t>
      </w:r>
      <w:r w:rsidR="00E30840">
        <w:rPr>
          <w:b/>
          <w:bCs/>
          <w:sz w:val="52"/>
          <w:szCs w:val="52"/>
        </w:rPr>
        <w:t>3</w:t>
      </w:r>
      <w:r>
        <w:rPr>
          <w:b/>
          <w:bCs/>
          <w:sz w:val="52"/>
          <w:szCs w:val="52"/>
        </w:rPr>
        <w:t>: Variance and the Volatility of Investments</w:t>
      </w:r>
    </w:p>
    <w:p w:rsidR="004F0793" w:rsidRDefault="004F0793" w:rsidP="00150782">
      <w:pPr>
        <w:pStyle w:val="Heading1"/>
      </w:pPr>
    </w:p>
    <w:p w:rsidR="005936C1" w:rsidRPr="004F0793" w:rsidRDefault="005936C1" w:rsidP="00150782">
      <w:pPr>
        <w:pStyle w:val="Heading1"/>
      </w:pPr>
      <w:r w:rsidRPr="004F0793">
        <w:t>Random Variables in Finance</w:t>
      </w:r>
    </w:p>
    <w:p w:rsidR="004F0793" w:rsidRDefault="004F0793" w:rsidP="00150782">
      <w:pPr>
        <w:pStyle w:val="BodyText"/>
      </w:pPr>
    </w:p>
    <w:p w:rsidR="005936C1" w:rsidRDefault="005936C1" w:rsidP="00150782">
      <w:pPr>
        <w:pStyle w:val="BodyText"/>
      </w:pPr>
      <w:r>
        <w:t>Random variables are used in finance to represent returns on investments.</w:t>
      </w:r>
    </w:p>
    <w:p w:rsidR="005936C1" w:rsidRDefault="005936C1" w:rsidP="00150782">
      <w:pPr>
        <w:pStyle w:val="BodyText"/>
      </w:pPr>
    </w:p>
    <w:p w:rsidR="002A659B" w:rsidRDefault="005936C1" w:rsidP="00150782">
      <w:pPr>
        <w:pStyle w:val="BodyText"/>
      </w:pPr>
      <w:r>
        <w:t>Variance of such random variables measures the volatility (risk) of the investment.</w:t>
      </w:r>
    </w:p>
    <w:p w:rsidR="002A659B" w:rsidRDefault="002A659B" w:rsidP="00150782">
      <w:pPr>
        <w:pStyle w:val="BodyText"/>
      </w:pPr>
    </w:p>
    <w:p w:rsidR="005936C1" w:rsidRDefault="005936C1" w:rsidP="00150782">
      <w:pPr>
        <w:pStyle w:val="BodyText"/>
      </w:pPr>
    </w:p>
    <w:p w:rsidR="005936C1" w:rsidRPr="004F0793" w:rsidRDefault="005936C1" w:rsidP="00150782">
      <w:pPr>
        <w:pStyle w:val="Heading1"/>
      </w:pPr>
      <w:r>
        <w:rPr>
          <w:sz w:val="40"/>
          <w:szCs w:val="40"/>
        </w:rPr>
        <w:br w:type="page"/>
      </w:r>
      <w:r w:rsidRPr="004F0793">
        <w:t>Example</w:t>
      </w:r>
      <w:r w:rsidR="002A659B">
        <w:t xml:space="preserve"> (SF,  p 287)</w:t>
      </w:r>
    </w:p>
    <w:p w:rsidR="005936C1" w:rsidRPr="00325DFE" w:rsidRDefault="005936C1" w:rsidP="00150782">
      <w:pPr>
        <w:pStyle w:val="BodyText"/>
        <w:rPr>
          <w:position w:val="6"/>
        </w:rPr>
      </w:pPr>
      <w:r>
        <w:t xml:space="preserve">Let Green, Red, and White denote three hypothetical investments with these probability distributions for their annual gross </w:t>
      </w:r>
      <w:r w:rsidDel="00A36483">
        <w:t>returns</w:t>
      </w:r>
      <w:r>
        <w:t xml:space="preserve"> </w:t>
      </w:r>
      <w:r w:rsidRPr="005C7A0E">
        <w:rPr>
          <w:i/>
        </w:rPr>
        <w:t>R</w:t>
      </w:r>
      <w:r>
        <w:t>.</w:t>
      </w:r>
      <w:r w:rsidRPr="00325DFE" w:rsidDel="00A36483">
        <w:rPr>
          <w:rStyle w:val="FootnoteReference"/>
          <w:position w:val="6"/>
          <w:sz w:val="28"/>
          <w:szCs w:val="28"/>
        </w:rPr>
        <w:footnoteReference w:id="1"/>
      </w:r>
    </w:p>
    <w:p w:rsidR="005936C1" w:rsidRDefault="005936C1" w:rsidP="00150782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6"/>
        <w:gridCol w:w="1265"/>
        <w:gridCol w:w="1265"/>
        <w:gridCol w:w="1265"/>
        <w:gridCol w:w="1265"/>
        <w:gridCol w:w="1265"/>
        <w:gridCol w:w="1266"/>
      </w:tblGrid>
      <w:tr w:rsidR="008518EE">
        <w:trPr>
          <w:jc w:val="center"/>
        </w:trPr>
        <w:tc>
          <w:tcPr>
            <w:tcW w:w="1816" w:type="dxa"/>
            <w:shd w:val="clear" w:color="auto" w:fill="FFFF99"/>
          </w:tcPr>
          <w:p w:rsidR="005936C1" w:rsidRDefault="005936C1" w:rsidP="00150782">
            <w:pPr>
              <w:pStyle w:val="BodyText"/>
            </w:pPr>
            <w:r>
              <w:t>Die value</w:t>
            </w:r>
          </w:p>
        </w:tc>
        <w:tc>
          <w:tcPr>
            <w:tcW w:w="1265" w:type="dxa"/>
            <w:shd w:val="clear" w:color="auto" w:fill="FFFF99"/>
          </w:tcPr>
          <w:p w:rsidR="005936C1" w:rsidRDefault="005936C1" w:rsidP="0074573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5" w:type="dxa"/>
            <w:shd w:val="clear" w:color="auto" w:fill="FFFF99"/>
          </w:tcPr>
          <w:p w:rsidR="005936C1" w:rsidRDefault="005936C1" w:rsidP="00745736">
            <w:pPr>
              <w:pStyle w:val="BodyText"/>
              <w:jc w:val="center"/>
            </w:pPr>
            <w:r>
              <w:t>2</w:t>
            </w:r>
          </w:p>
        </w:tc>
        <w:tc>
          <w:tcPr>
            <w:tcW w:w="1265" w:type="dxa"/>
            <w:shd w:val="clear" w:color="auto" w:fill="FFFF99"/>
          </w:tcPr>
          <w:p w:rsidR="005936C1" w:rsidRDefault="005936C1" w:rsidP="00745736">
            <w:pPr>
              <w:pStyle w:val="BodyText"/>
              <w:jc w:val="center"/>
            </w:pPr>
            <w:r>
              <w:t>3</w:t>
            </w:r>
          </w:p>
        </w:tc>
        <w:tc>
          <w:tcPr>
            <w:tcW w:w="1265" w:type="dxa"/>
            <w:shd w:val="clear" w:color="auto" w:fill="FFFF99"/>
          </w:tcPr>
          <w:p w:rsidR="005936C1" w:rsidRDefault="005936C1" w:rsidP="00745736">
            <w:pPr>
              <w:pStyle w:val="BodyText"/>
              <w:jc w:val="center"/>
            </w:pPr>
            <w:r>
              <w:t>4</w:t>
            </w:r>
          </w:p>
        </w:tc>
        <w:tc>
          <w:tcPr>
            <w:tcW w:w="1265" w:type="dxa"/>
            <w:shd w:val="clear" w:color="auto" w:fill="FFFF99"/>
          </w:tcPr>
          <w:p w:rsidR="005936C1" w:rsidRDefault="005936C1" w:rsidP="00745736">
            <w:pPr>
              <w:pStyle w:val="BodyText"/>
              <w:jc w:val="center"/>
            </w:pPr>
            <w:r>
              <w:t>5</w:t>
            </w:r>
          </w:p>
        </w:tc>
        <w:tc>
          <w:tcPr>
            <w:tcW w:w="1266" w:type="dxa"/>
            <w:shd w:val="clear" w:color="auto" w:fill="FFFF99"/>
          </w:tcPr>
          <w:p w:rsidR="005936C1" w:rsidRDefault="005936C1" w:rsidP="00745736">
            <w:pPr>
              <w:pStyle w:val="BodyText"/>
              <w:jc w:val="center"/>
            </w:pPr>
            <w:r>
              <w:t>6</w:t>
            </w:r>
          </w:p>
        </w:tc>
      </w:tr>
      <w:tr w:rsidR="008518EE">
        <w:trPr>
          <w:jc w:val="center"/>
        </w:trPr>
        <w:tc>
          <w:tcPr>
            <w:tcW w:w="1816" w:type="dxa"/>
            <w:shd w:val="clear" w:color="auto" w:fill="FFFF99"/>
          </w:tcPr>
          <w:p w:rsidR="005936C1" w:rsidRDefault="005936C1" w:rsidP="00150782">
            <w:pPr>
              <w:pStyle w:val="BodyText"/>
            </w:pPr>
            <w:bookmarkStart w:id="0" w:name="_Hlk81314501"/>
            <w:r>
              <w:t>Probability</w:t>
            </w:r>
          </w:p>
        </w:tc>
        <w:tc>
          <w:tcPr>
            <w:tcW w:w="1265" w:type="dxa"/>
            <w:shd w:val="clear" w:color="auto" w:fill="FFFF99"/>
          </w:tcPr>
          <w:p w:rsidR="005936C1" w:rsidRDefault="005936C1" w:rsidP="00745736">
            <w:pPr>
              <w:pStyle w:val="BodyText"/>
              <w:jc w:val="center"/>
            </w:pPr>
            <w:r>
              <w:t>1/6</w:t>
            </w:r>
          </w:p>
        </w:tc>
        <w:tc>
          <w:tcPr>
            <w:tcW w:w="1265" w:type="dxa"/>
            <w:shd w:val="clear" w:color="auto" w:fill="FFFF99"/>
          </w:tcPr>
          <w:p w:rsidR="005936C1" w:rsidRDefault="005936C1" w:rsidP="00745736">
            <w:pPr>
              <w:pStyle w:val="BodyText"/>
              <w:jc w:val="center"/>
            </w:pPr>
            <w:r>
              <w:t>1/6</w:t>
            </w:r>
          </w:p>
        </w:tc>
        <w:tc>
          <w:tcPr>
            <w:tcW w:w="1265" w:type="dxa"/>
            <w:shd w:val="clear" w:color="auto" w:fill="FFFF99"/>
          </w:tcPr>
          <w:p w:rsidR="005936C1" w:rsidRDefault="005936C1" w:rsidP="00745736">
            <w:pPr>
              <w:pStyle w:val="BodyText"/>
              <w:jc w:val="center"/>
            </w:pPr>
            <w:r>
              <w:t>1/6</w:t>
            </w:r>
          </w:p>
        </w:tc>
        <w:tc>
          <w:tcPr>
            <w:tcW w:w="1265" w:type="dxa"/>
            <w:shd w:val="clear" w:color="auto" w:fill="FFFF99"/>
          </w:tcPr>
          <w:p w:rsidR="005936C1" w:rsidRDefault="005936C1" w:rsidP="00745736">
            <w:pPr>
              <w:pStyle w:val="BodyText"/>
              <w:jc w:val="center"/>
            </w:pPr>
            <w:r>
              <w:t>1/6</w:t>
            </w:r>
          </w:p>
        </w:tc>
        <w:tc>
          <w:tcPr>
            <w:tcW w:w="1265" w:type="dxa"/>
            <w:shd w:val="clear" w:color="auto" w:fill="FFFF99"/>
          </w:tcPr>
          <w:p w:rsidR="005936C1" w:rsidRDefault="005936C1" w:rsidP="00745736">
            <w:pPr>
              <w:pStyle w:val="BodyText"/>
              <w:jc w:val="center"/>
            </w:pPr>
            <w:r>
              <w:t>1/6</w:t>
            </w:r>
          </w:p>
        </w:tc>
        <w:tc>
          <w:tcPr>
            <w:tcW w:w="1266" w:type="dxa"/>
            <w:shd w:val="clear" w:color="auto" w:fill="FFFF99"/>
          </w:tcPr>
          <w:p w:rsidR="005936C1" w:rsidRDefault="005936C1" w:rsidP="00745736">
            <w:pPr>
              <w:pStyle w:val="BodyText"/>
              <w:jc w:val="center"/>
            </w:pPr>
            <w:r>
              <w:t>1/6</w:t>
            </w:r>
          </w:p>
        </w:tc>
      </w:tr>
      <w:tr w:rsidR="005936C1">
        <w:trPr>
          <w:jc w:val="center"/>
        </w:trPr>
        <w:tc>
          <w:tcPr>
            <w:tcW w:w="1816" w:type="dxa"/>
          </w:tcPr>
          <w:p w:rsidR="005936C1" w:rsidRDefault="005936C1" w:rsidP="00150782">
            <w:pPr>
              <w:pStyle w:val="BodyText"/>
            </w:pPr>
            <w:r>
              <w:t>Green</w:t>
            </w:r>
          </w:p>
        </w:tc>
        <w:tc>
          <w:tcPr>
            <w:tcW w:w="1265" w:type="dxa"/>
          </w:tcPr>
          <w:p w:rsidR="005936C1" w:rsidRDefault="005936C1" w:rsidP="00745736">
            <w:pPr>
              <w:pStyle w:val="BodyText"/>
              <w:jc w:val="center"/>
            </w:pPr>
            <w:r>
              <w:t>0.8</w:t>
            </w:r>
          </w:p>
        </w:tc>
        <w:tc>
          <w:tcPr>
            <w:tcW w:w="1265" w:type="dxa"/>
          </w:tcPr>
          <w:p w:rsidR="005936C1" w:rsidRDefault="005936C1" w:rsidP="00745736">
            <w:pPr>
              <w:pStyle w:val="BodyText"/>
              <w:jc w:val="center"/>
            </w:pPr>
            <w:r>
              <w:t>0.9</w:t>
            </w:r>
          </w:p>
        </w:tc>
        <w:tc>
          <w:tcPr>
            <w:tcW w:w="1265" w:type="dxa"/>
          </w:tcPr>
          <w:p w:rsidR="005936C1" w:rsidRDefault="005936C1" w:rsidP="00745736">
            <w:pPr>
              <w:pStyle w:val="BodyText"/>
              <w:jc w:val="center"/>
            </w:pPr>
            <w:r>
              <w:t>1.1</w:t>
            </w:r>
          </w:p>
        </w:tc>
        <w:tc>
          <w:tcPr>
            <w:tcW w:w="1265" w:type="dxa"/>
          </w:tcPr>
          <w:p w:rsidR="005936C1" w:rsidRDefault="005936C1" w:rsidP="00745736">
            <w:pPr>
              <w:pStyle w:val="BodyText"/>
              <w:jc w:val="center"/>
            </w:pPr>
            <w:r>
              <w:t>1.1</w:t>
            </w:r>
          </w:p>
        </w:tc>
        <w:tc>
          <w:tcPr>
            <w:tcW w:w="1265" w:type="dxa"/>
          </w:tcPr>
          <w:p w:rsidR="005936C1" w:rsidRDefault="005936C1" w:rsidP="00745736">
            <w:pPr>
              <w:pStyle w:val="BodyText"/>
              <w:jc w:val="center"/>
            </w:pPr>
            <w:r>
              <w:t>1.2</w:t>
            </w:r>
          </w:p>
        </w:tc>
        <w:tc>
          <w:tcPr>
            <w:tcW w:w="1266" w:type="dxa"/>
          </w:tcPr>
          <w:p w:rsidR="005936C1" w:rsidRDefault="005936C1" w:rsidP="00745736">
            <w:pPr>
              <w:pStyle w:val="BodyText"/>
              <w:jc w:val="center"/>
            </w:pPr>
            <w:r>
              <w:t>1.4</w:t>
            </w:r>
          </w:p>
        </w:tc>
      </w:tr>
      <w:tr w:rsidR="005936C1">
        <w:trPr>
          <w:jc w:val="center"/>
        </w:trPr>
        <w:tc>
          <w:tcPr>
            <w:tcW w:w="1816" w:type="dxa"/>
          </w:tcPr>
          <w:p w:rsidR="005936C1" w:rsidRDefault="005936C1" w:rsidP="00150782">
            <w:pPr>
              <w:pStyle w:val="BodyText"/>
            </w:pPr>
            <w:r>
              <w:t>Red</w:t>
            </w:r>
          </w:p>
        </w:tc>
        <w:tc>
          <w:tcPr>
            <w:tcW w:w="1265" w:type="dxa"/>
          </w:tcPr>
          <w:p w:rsidR="005936C1" w:rsidRDefault="005936C1" w:rsidP="00745736">
            <w:pPr>
              <w:pStyle w:val="BodyText"/>
              <w:jc w:val="center"/>
            </w:pPr>
            <w:r>
              <w:t>0.06</w:t>
            </w:r>
          </w:p>
        </w:tc>
        <w:tc>
          <w:tcPr>
            <w:tcW w:w="1265" w:type="dxa"/>
          </w:tcPr>
          <w:p w:rsidR="005936C1" w:rsidRDefault="005936C1" w:rsidP="00745736">
            <w:pPr>
              <w:pStyle w:val="BodyText"/>
              <w:jc w:val="center"/>
            </w:pPr>
            <w:r>
              <w:t>0.2</w:t>
            </w:r>
          </w:p>
        </w:tc>
        <w:tc>
          <w:tcPr>
            <w:tcW w:w="1265" w:type="dxa"/>
          </w:tcPr>
          <w:p w:rsidR="005936C1" w:rsidRDefault="005936C1" w:rsidP="0074573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5" w:type="dxa"/>
          </w:tcPr>
          <w:p w:rsidR="005936C1" w:rsidRDefault="005936C1" w:rsidP="00745736">
            <w:pPr>
              <w:pStyle w:val="BodyText"/>
              <w:jc w:val="center"/>
            </w:pPr>
            <w:r>
              <w:t>3</w:t>
            </w:r>
          </w:p>
        </w:tc>
        <w:tc>
          <w:tcPr>
            <w:tcW w:w="1265" w:type="dxa"/>
          </w:tcPr>
          <w:p w:rsidR="005936C1" w:rsidRDefault="005936C1" w:rsidP="00745736">
            <w:pPr>
              <w:pStyle w:val="BodyText"/>
              <w:jc w:val="center"/>
            </w:pPr>
            <w:r>
              <w:t>3</w:t>
            </w:r>
          </w:p>
        </w:tc>
        <w:tc>
          <w:tcPr>
            <w:tcW w:w="1266" w:type="dxa"/>
          </w:tcPr>
          <w:p w:rsidR="005936C1" w:rsidRDefault="005936C1" w:rsidP="00745736">
            <w:pPr>
              <w:pStyle w:val="BodyText"/>
              <w:jc w:val="center"/>
            </w:pPr>
            <w:r>
              <w:t>3</w:t>
            </w:r>
          </w:p>
        </w:tc>
      </w:tr>
      <w:bookmarkEnd w:id="0"/>
      <w:tr w:rsidR="005936C1">
        <w:trPr>
          <w:jc w:val="center"/>
        </w:trPr>
        <w:tc>
          <w:tcPr>
            <w:tcW w:w="1816" w:type="dxa"/>
          </w:tcPr>
          <w:p w:rsidR="005936C1" w:rsidRDefault="005936C1" w:rsidP="00150782">
            <w:pPr>
              <w:pStyle w:val="BodyText"/>
            </w:pPr>
            <w:r>
              <w:t>White</w:t>
            </w:r>
          </w:p>
        </w:tc>
        <w:tc>
          <w:tcPr>
            <w:tcW w:w="1265" w:type="dxa"/>
          </w:tcPr>
          <w:p w:rsidR="005936C1" w:rsidRDefault="005936C1" w:rsidP="00745736">
            <w:pPr>
              <w:pStyle w:val="BodyText"/>
              <w:jc w:val="center"/>
            </w:pPr>
            <w:r>
              <w:t>0.95</w:t>
            </w:r>
          </w:p>
        </w:tc>
        <w:tc>
          <w:tcPr>
            <w:tcW w:w="1265" w:type="dxa"/>
          </w:tcPr>
          <w:p w:rsidR="005936C1" w:rsidRDefault="005936C1" w:rsidP="0074573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5" w:type="dxa"/>
          </w:tcPr>
          <w:p w:rsidR="005936C1" w:rsidRDefault="005936C1" w:rsidP="0074573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5" w:type="dxa"/>
          </w:tcPr>
          <w:p w:rsidR="005936C1" w:rsidRDefault="005936C1" w:rsidP="0074573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5" w:type="dxa"/>
          </w:tcPr>
          <w:p w:rsidR="005936C1" w:rsidRDefault="005936C1" w:rsidP="0074573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6" w:type="dxa"/>
          </w:tcPr>
          <w:p w:rsidR="005936C1" w:rsidRDefault="005936C1" w:rsidP="00745736">
            <w:pPr>
              <w:pStyle w:val="BodyText"/>
              <w:jc w:val="center"/>
            </w:pPr>
            <w:r w:rsidDel="00A36483">
              <w:t>1.1</w:t>
            </w:r>
          </w:p>
        </w:tc>
      </w:tr>
    </w:tbl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What do you learn from looking at the probability distributions of these random variables?</w:t>
      </w:r>
    </w:p>
    <w:p w:rsidR="005936C1" w:rsidRPr="002B0825" w:rsidRDefault="005936C1" w:rsidP="00150782">
      <w:pPr>
        <w:pStyle w:val="Heading1"/>
      </w:pPr>
      <w:r>
        <w:rPr>
          <w:sz w:val="40"/>
          <w:szCs w:val="40"/>
        </w:rPr>
        <w:br w:type="page"/>
      </w:r>
      <w:r w:rsidRPr="002B0825">
        <w:t>Summaries</w:t>
      </w:r>
    </w:p>
    <w:p w:rsidR="005936C1" w:rsidRDefault="005936C1" w:rsidP="00150782">
      <w:pPr>
        <w:pStyle w:val="BodyText"/>
      </w:pPr>
      <w:r>
        <w:t>The expected values and standard deviations of the annual gross returns for each of these random variables are</w:t>
      </w:r>
      <w:r w:rsidRPr="00667DE0">
        <w:rPr>
          <w:rStyle w:val="FootnoteReference"/>
          <w:sz w:val="28"/>
          <w:szCs w:val="28"/>
        </w:rPr>
        <w:footnoteReference w:id="2"/>
      </w:r>
    </w:p>
    <w:p w:rsidR="005936C1" w:rsidRDefault="005936C1" w:rsidP="00150782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78"/>
        <w:gridCol w:w="2952"/>
        <w:gridCol w:w="2952"/>
      </w:tblGrid>
      <w:tr w:rsidR="005936C1" w:rsidRPr="00B366D1">
        <w:trPr>
          <w:jc w:val="center"/>
        </w:trPr>
        <w:tc>
          <w:tcPr>
            <w:tcW w:w="2178" w:type="dxa"/>
            <w:shd w:val="clear" w:color="auto" w:fill="FFFF99"/>
          </w:tcPr>
          <w:p w:rsidR="005936C1" w:rsidRPr="00B366D1" w:rsidRDefault="005936C1" w:rsidP="00745736">
            <w:pPr>
              <w:pStyle w:val="BodyText"/>
              <w:jc w:val="center"/>
            </w:pPr>
            <w:r w:rsidRPr="00B366D1">
              <w:t>Investment</w:t>
            </w:r>
          </w:p>
        </w:tc>
        <w:tc>
          <w:tcPr>
            <w:tcW w:w="2952" w:type="dxa"/>
            <w:shd w:val="clear" w:color="auto" w:fill="FFFF99"/>
          </w:tcPr>
          <w:p w:rsidR="005936C1" w:rsidRPr="00B366D1" w:rsidRDefault="007E0B31" w:rsidP="00E30840">
            <w:pPr>
              <w:pStyle w:val="BodyText"/>
              <w:jc w:val="center"/>
            </w:pPr>
            <w:r>
              <w:t>Expected Value</w:t>
            </w:r>
            <w:r>
              <w:br/>
              <w:t xml:space="preserve">E( </w:t>
            </w:r>
            <w:r w:rsidR="005936C1" w:rsidRPr="005C7A0E">
              <w:rPr>
                <w:i/>
              </w:rPr>
              <w:t>R</w:t>
            </w:r>
            <w:r>
              <w:t xml:space="preserve"> )</w:t>
            </w:r>
          </w:p>
        </w:tc>
        <w:tc>
          <w:tcPr>
            <w:tcW w:w="2952" w:type="dxa"/>
            <w:shd w:val="clear" w:color="auto" w:fill="FFFF99"/>
          </w:tcPr>
          <w:p w:rsidR="005936C1" w:rsidRPr="00B366D1" w:rsidRDefault="007E0B31" w:rsidP="00150782">
            <w:pPr>
              <w:pStyle w:val="BodyText"/>
            </w:pPr>
            <w:r>
              <w:t>Std Deviation</w:t>
            </w:r>
            <w:r>
              <w:br/>
              <w:t xml:space="preserve">SD( </w:t>
            </w:r>
            <w:r w:rsidR="005936C1" w:rsidRPr="005C7A0E">
              <w:rPr>
                <w:i/>
              </w:rPr>
              <w:t>R</w:t>
            </w:r>
            <w:r>
              <w:t xml:space="preserve"> )</w:t>
            </w:r>
          </w:p>
        </w:tc>
      </w:tr>
      <w:tr w:rsidR="005936C1">
        <w:trPr>
          <w:jc w:val="center"/>
        </w:trPr>
        <w:tc>
          <w:tcPr>
            <w:tcW w:w="2178" w:type="dxa"/>
          </w:tcPr>
          <w:p w:rsidR="005936C1" w:rsidRDefault="005936C1" w:rsidP="00745736">
            <w:pPr>
              <w:pStyle w:val="BodyText"/>
              <w:jc w:val="center"/>
            </w:pPr>
            <w:r>
              <w:t>Green</w:t>
            </w:r>
          </w:p>
        </w:tc>
        <w:tc>
          <w:tcPr>
            <w:tcW w:w="2952" w:type="dxa"/>
          </w:tcPr>
          <w:p w:rsidR="005936C1" w:rsidRDefault="005936C1" w:rsidP="00745736">
            <w:pPr>
              <w:pStyle w:val="BodyText"/>
              <w:jc w:val="center"/>
            </w:pPr>
            <w:r>
              <w:t>1.0</w:t>
            </w:r>
            <w:r w:rsidDel="00A36483">
              <w:t>83</w:t>
            </w:r>
          </w:p>
        </w:tc>
        <w:tc>
          <w:tcPr>
            <w:tcW w:w="2952" w:type="dxa"/>
          </w:tcPr>
          <w:p w:rsidR="005936C1" w:rsidRDefault="005936C1" w:rsidP="00745736">
            <w:pPr>
              <w:pStyle w:val="BodyText"/>
              <w:jc w:val="center"/>
            </w:pPr>
            <w:r>
              <w:t>0.20</w:t>
            </w:r>
          </w:p>
        </w:tc>
      </w:tr>
      <w:tr w:rsidR="005936C1">
        <w:trPr>
          <w:jc w:val="center"/>
        </w:trPr>
        <w:tc>
          <w:tcPr>
            <w:tcW w:w="2178" w:type="dxa"/>
          </w:tcPr>
          <w:p w:rsidR="005936C1" w:rsidRDefault="005936C1" w:rsidP="00745736">
            <w:pPr>
              <w:pStyle w:val="BodyText"/>
              <w:jc w:val="center"/>
            </w:pPr>
            <w:r>
              <w:t>Red</w:t>
            </w:r>
          </w:p>
        </w:tc>
        <w:tc>
          <w:tcPr>
            <w:tcW w:w="2952" w:type="dxa"/>
          </w:tcPr>
          <w:p w:rsidR="005936C1" w:rsidRDefault="005936C1" w:rsidP="00745736">
            <w:pPr>
              <w:pStyle w:val="BodyText"/>
              <w:jc w:val="center"/>
            </w:pPr>
            <w:r>
              <w:t>1.710</w:t>
            </w:r>
          </w:p>
        </w:tc>
        <w:tc>
          <w:tcPr>
            <w:tcW w:w="2952" w:type="dxa"/>
          </w:tcPr>
          <w:p w:rsidR="005936C1" w:rsidRDefault="005936C1" w:rsidP="00745736">
            <w:pPr>
              <w:pStyle w:val="BodyText"/>
              <w:jc w:val="center"/>
            </w:pPr>
            <w:r>
              <w:t>1.32</w:t>
            </w:r>
          </w:p>
        </w:tc>
      </w:tr>
      <w:tr w:rsidR="005936C1">
        <w:trPr>
          <w:jc w:val="center"/>
        </w:trPr>
        <w:tc>
          <w:tcPr>
            <w:tcW w:w="2178" w:type="dxa"/>
          </w:tcPr>
          <w:p w:rsidR="005936C1" w:rsidRDefault="005936C1" w:rsidP="00745736">
            <w:pPr>
              <w:pStyle w:val="BodyText"/>
              <w:jc w:val="center"/>
            </w:pPr>
            <w:r>
              <w:t>White</w:t>
            </w:r>
          </w:p>
        </w:tc>
        <w:tc>
          <w:tcPr>
            <w:tcW w:w="2952" w:type="dxa"/>
          </w:tcPr>
          <w:p w:rsidR="005936C1" w:rsidRDefault="005936C1" w:rsidP="00745736">
            <w:pPr>
              <w:pStyle w:val="BodyText"/>
              <w:jc w:val="center"/>
            </w:pPr>
            <w:r>
              <w:t>1.008</w:t>
            </w:r>
          </w:p>
        </w:tc>
        <w:tc>
          <w:tcPr>
            <w:tcW w:w="2952" w:type="dxa"/>
          </w:tcPr>
          <w:p w:rsidR="005936C1" w:rsidRDefault="005936C1" w:rsidP="00745736">
            <w:pPr>
              <w:pStyle w:val="BodyText"/>
              <w:jc w:val="center"/>
            </w:pPr>
            <w:r>
              <w:t>0.0</w:t>
            </w:r>
            <w:r w:rsidDel="00A36483">
              <w:t>4</w:t>
            </w:r>
          </w:p>
        </w:tc>
      </w:tr>
    </w:tbl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Are these more useful than the probability distributions? Less useful?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 xml:space="preserve">Which of these investments is most appealing?     </w:t>
      </w:r>
    </w:p>
    <w:p w:rsidR="005936C1" w:rsidRDefault="005936C1" w:rsidP="00150782">
      <w:pPr>
        <w:pStyle w:val="BodyText"/>
      </w:pPr>
      <w:r>
        <w:t>What tradeoffs did you consider?</w:t>
      </w:r>
    </w:p>
    <w:p w:rsidR="005936C1" w:rsidRPr="002B0825" w:rsidRDefault="005936C1" w:rsidP="00150782">
      <w:pPr>
        <w:pStyle w:val="Heading1"/>
      </w:pPr>
      <w:r>
        <w:rPr>
          <w:sz w:val="40"/>
          <w:szCs w:val="40"/>
        </w:rPr>
        <w:br w:type="page"/>
      </w:r>
      <w:r w:rsidRPr="002B0825">
        <w:t xml:space="preserve">A </w:t>
      </w:r>
      <w:r w:rsidR="00AA7DF2">
        <w:t xml:space="preserve">Multi -Period </w:t>
      </w:r>
      <w:r w:rsidRPr="002B0825">
        <w:t>Simulation Experiment</w:t>
      </w:r>
    </w:p>
    <w:p w:rsidR="005936C1" w:rsidRDefault="005936C1" w:rsidP="00150782">
      <w:pPr>
        <w:pStyle w:val="BodyText"/>
      </w:pPr>
      <w:r>
        <w:t>Suppose you begin with a $1,000 investment in each of Green, Red, and White.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The outcome from rolling three dice determines the annual outcome of the investment of matching color.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Quotation"/>
      </w:pPr>
      <w:r>
        <w:t>The value of the investment changes according to the gross return given in the appropriate column of the table.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For example, suppose that on the first roll of all three dice, you obtain</w:t>
      </w:r>
    </w:p>
    <w:p w:rsidR="005936C1" w:rsidRDefault="005936C1" w:rsidP="00150782">
      <w:pPr>
        <w:pStyle w:val="BodyText"/>
      </w:pPr>
    </w:p>
    <w:p w:rsidR="005936C1" w:rsidRDefault="00B901C2" w:rsidP="00150782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 w:rsidR="005936C1">
        <w:t>(Green 2) (Red 5) (White 3)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Then the values of the investments after the first year are</w:t>
      </w:r>
    </w:p>
    <w:p w:rsidR="005936C1" w:rsidRDefault="005936C1" w:rsidP="00150782">
      <w:pPr>
        <w:pStyle w:val="BodyText"/>
      </w:pPr>
    </w:p>
    <w:p w:rsidR="005936C1" w:rsidRPr="005A6E97" w:rsidRDefault="00E30840" w:rsidP="00150782">
      <w:pPr>
        <w:pStyle w:val="BodyText"/>
      </w:pPr>
      <w:r>
        <w:tab/>
      </w:r>
      <w:r>
        <w:tab/>
      </w:r>
      <w:r>
        <w:tab/>
      </w:r>
      <w:r>
        <w:tab/>
      </w:r>
      <w:r w:rsidR="005936C1" w:rsidRPr="005A6E97">
        <w:t>Green:</w:t>
      </w:r>
      <w:r w:rsidR="005936C1" w:rsidRPr="005A6E97">
        <w:tab/>
      </w:r>
      <w:r>
        <w:tab/>
      </w:r>
      <w:r w:rsidR="005936C1" w:rsidRPr="005A6E97">
        <w:t xml:space="preserve">$1,000 · 0.9  = </w:t>
      </w:r>
      <w:r w:rsidR="005936C1">
        <w:t xml:space="preserve"> </w:t>
      </w:r>
      <w:r w:rsidR="005936C1" w:rsidRPr="005A6E97">
        <w:t>$900</w:t>
      </w:r>
    </w:p>
    <w:p w:rsidR="005936C1" w:rsidRPr="005A6E97" w:rsidRDefault="00E30840" w:rsidP="00150782">
      <w:pPr>
        <w:pStyle w:val="BodyText"/>
      </w:pPr>
      <w:r>
        <w:tab/>
      </w:r>
      <w:r>
        <w:tab/>
      </w:r>
      <w:r>
        <w:tab/>
      </w:r>
      <w:r>
        <w:tab/>
      </w:r>
      <w:r w:rsidR="005936C1" w:rsidRPr="005A6E97">
        <w:t>Red:</w:t>
      </w:r>
      <w:r w:rsidR="005936C1" w:rsidRPr="005A6E97">
        <w:tab/>
      </w:r>
      <w:r w:rsidR="00B901C2">
        <w:tab/>
      </w:r>
      <w:r w:rsidR="00DE1691">
        <w:tab/>
      </w:r>
      <w:r w:rsidR="005936C1" w:rsidRPr="005A6E97">
        <w:t>$1,000 · 3     =  $3000</w:t>
      </w:r>
    </w:p>
    <w:p w:rsidR="005936C1" w:rsidRDefault="00E30840" w:rsidP="00150782">
      <w:pPr>
        <w:pStyle w:val="BodyText"/>
      </w:pPr>
      <w:r>
        <w:tab/>
      </w:r>
      <w:r>
        <w:tab/>
      </w:r>
      <w:r>
        <w:tab/>
      </w:r>
      <w:r>
        <w:tab/>
      </w:r>
      <w:r w:rsidR="005936C1" w:rsidRPr="005A6E97">
        <w:t>White:</w:t>
      </w:r>
      <w:r>
        <w:tab/>
      </w:r>
      <w:r w:rsidR="00DE1691">
        <w:tab/>
      </w:r>
      <w:r w:rsidR="005936C1" w:rsidRPr="005A6E97">
        <w:t>$1,000 · 1     =  $1000</w:t>
      </w:r>
    </w:p>
    <w:p w:rsidR="005936C1" w:rsidRDefault="005936C1" w:rsidP="00150782">
      <w:pPr>
        <w:pStyle w:val="BodyText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86"/>
        <w:gridCol w:w="908"/>
        <w:gridCol w:w="908"/>
        <w:gridCol w:w="892"/>
        <w:gridCol w:w="1065"/>
        <w:gridCol w:w="753"/>
        <w:gridCol w:w="812"/>
      </w:tblGrid>
      <w:tr w:rsidR="005936C1" w:rsidRPr="00E4647B">
        <w:trPr>
          <w:jc w:val="center"/>
        </w:trPr>
        <w:tc>
          <w:tcPr>
            <w:tcW w:w="1786" w:type="dxa"/>
            <w:shd w:val="clear" w:color="auto" w:fill="FFFF66"/>
          </w:tcPr>
          <w:p w:rsidR="005936C1" w:rsidRPr="00E4647B" w:rsidRDefault="005936C1" w:rsidP="00150782">
            <w:pPr>
              <w:pStyle w:val="BodyText"/>
            </w:pPr>
            <w:r w:rsidRPr="00E4647B">
              <w:t>Die value</w:t>
            </w:r>
          </w:p>
        </w:tc>
        <w:tc>
          <w:tcPr>
            <w:tcW w:w="908" w:type="dxa"/>
            <w:shd w:val="clear" w:color="auto" w:fill="FFFF66"/>
          </w:tcPr>
          <w:p w:rsidR="005936C1" w:rsidRPr="00E4647B" w:rsidRDefault="005936C1" w:rsidP="00745736">
            <w:pPr>
              <w:pStyle w:val="BodyText"/>
              <w:jc w:val="center"/>
            </w:pPr>
            <w:r w:rsidRPr="00E4647B">
              <w:t>1</w:t>
            </w:r>
          </w:p>
        </w:tc>
        <w:tc>
          <w:tcPr>
            <w:tcW w:w="908" w:type="dxa"/>
            <w:shd w:val="clear" w:color="auto" w:fill="FFFF66"/>
          </w:tcPr>
          <w:p w:rsidR="005936C1" w:rsidRPr="00E4647B" w:rsidRDefault="005936C1" w:rsidP="00745736">
            <w:pPr>
              <w:pStyle w:val="BodyText"/>
              <w:jc w:val="center"/>
            </w:pPr>
            <w:r w:rsidRPr="00E4647B">
              <w:t>2</w:t>
            </w:r>
          </w:p>
        </w:tc>
        <w:tc>
          <w:tcPr>
            <w:tcW w:w="892" w:type="dxa"/>
            <w:shd w:val="clear" w:color="auto" w:fill="FFFF66"/>
          </w:tcPr>
          <w:p w:rsidR="005936C1" w:rsidRPr="00E4647B" w:rsidRDefault="005936C1" w:rsidP="00745736">
            <w:pPr>
              <w:pStyle w:val="BodyText"/>
              <w:jc w:val="center"/>
            </w:pPr>
            <w:r w:rsidRPr="00E4647B">
              <w:t>3</w:t>
            </w:r>
          </w:p>
        </w:tc>
        <w:tc>
          <w:tcPr>
            <w:tcW w:w="1065" w:type="dxa"/>
            <w:shd w:val="clear" w:color="auto" w:fill="FFFF66"/>
          </w:tcPr>
          <w:p w:rsidR="005936C1" w:rsidRPr="00E4647B" w:rsidRDefault="005936C1" w:rsidP="00745736">
            <w:pPr>
              <w:pStyle w:val="BodyText"/>
              <w:jc w:val="center"/>
            </w:pPr>
            <w:r w:rsidRPr="00E4647B">
              <w:t>4</w:t>
            </w:r>
          </w:p>
        </w:tc>
        <w:tc>
          <w:tcPr>
            <w:tcW w:w="753" w:type="dxa"/>
            <w:shd w:val="clear" w:color="auto" w:fill="FFFF66"/>
          </w:tcPr>
          <w:p w:rsidR="005936C1" w:rsidRPr="00E4647B" w:rsidRDefault="005936C1" w:rsidP="00745736">
            <w:pPr>
              <w:pStyle w:val="BodyText"/>
              <w:jc w:val="center"/>
            </w:pPr>
            <w:r w:rsidRPr="00E4647B">
              <w:t>5</w:t>
            </w:r>
          </w:p>
        </w:tc>
        <w:tc>
          <w:tcPr>
            <w:tcW w:w="812" w:type="dxa"/>
            <w:shd w:val="clear" w:color="auto" w:fill="FFFF66"/>
          </w:tcPr>
          <w:p w:rsidR="005936C1" w:rsidRPr="00E4647B" w:rsidRDefault="005936C1" w:rsidP="00745736">
            <w:pPr>
              <w:pStyle w:val="BodyText"/>
              <w:jc w:val="center"/>
            </w:pPr>
            <w:r w:rsidRPr="00E4647B">
              <w:t>6</w:t>
            </w:r>
          </w:p>
        </w:tc>
      </w:tr>
      <w:tr w:rsidR="005936C1" w:rsidRPr="00E4647B">
        <w:trPr>
          <w:jc w:val="center"/>
        </w:trPr>
        <w:tc>
          <w:tcPr>
            <w:tcW w:w="1786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Green</w:t>
            </w:r>
          </w:p>
        </w:tc>
        <w:tc>
          <w:tcPr>
            <w:tcW w:w="908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0.8</w:t>
            </w:r>
          </w:p>
        </w:tc>
        <w:tc>
          <w:tcPr>
            <w:tcW w:w="908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0.9</w:t>
            </w:r>
          </w:p>
        </w:tc>
        <w:tc>
          <w:tcPr>
            <w:tcW w:w="892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1.1</w:t>
            </w:r>
          </w:p>
        </w:tc>
        <w:tc>
          <w:tcPr>
            <w:tcW w:w="1065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1.1</w:t>
            </w:r>
          </w:p>
        </w:tc>
        <w:tc>
          <w:tcPr>
            <w:tcW w:w="753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1.2</w:t>
            </w:r>
          </w:p>
        </w:tc>
        <w:tc>
          <w:tcPr>
            <w:tcW w:w="812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1.4</w:t>
            </w:r>
          </w:p>
        </w:tc>
      </w:tr>
      <w:tr w:rsidR="005936C1" w:rsidRPr="00E4647B">
        <w:trPr>
          <w:jc w:val="center"/>
        </w:trPr>
        <w:tc>
          <w:tcPr>
            <w:tcW w:w="1786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Red</w:t>
            </w:r>
          </w:p>
        </w:tc>
        <w:tc>
          <w:tcPr>
            <w:tcW w:w="908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0.06</w:t>
            </w:r>
          </w:p>
        </w:tc>
        <w:tc>
          <w:tcPr>
            <w:tcW w:w="908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0.2</w:t>
            </w:r>
          </w:p>
        </w:tc>
        <w:tc>
          <w:tcPr>
            <w:tcW w:w="892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</w:t>
            </w:r>
          </w:p>
        </w:tc>
        <w:tc>
          <w:tcPr>
            <w:tcW w:w="1065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3</w:t>
            </w:r>
          </w:p>
        </w:tc>
        <w:tc>
          <w:tcPr>
            <w:tcW w:w="753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3</w:t>
            </w:r>
          </w:p>
        </w:tc>
        <w:tc>
          <w:tcPr>
            <w:tcW w:w="812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3</w:t>
            </w:r>
          </w:p>
        </w:tc>
      </w:tr>
      <w:tr w:rsidR="005936C1" w:rsidRPr="00E4647B">
        <w:trPr>
          <w:jc w:val="center"/>
        </w:trPr>
        <w:tc>
          <w:tcPr>
            <w:tcW w:w="1786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White</w:t>
            </w:r>
          </w:p>
        </w:tc>
        <w:tc>
          <w:tcPr>
            <w:tcW w:w="908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0.95</w:t>
            </w:r>
          </w:p>
        </w:tc>
        <w:tc>
          <w:tcPr>
            <w:tcW w:w="908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</w:t>
            </w:r>
          </w:p>
        </w:tc>
        <w:tc>
          <w:tcPr>
            <w:tcW w:w="892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</w:t>
            </w:r>
          </w:p>
        </w:tc>
        <w:tc>
          <w:tcPr>
            <w:tcW w:w="1065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</w:t>
            </w:r>
          </w:p>
        </w:tc>
        <w:tc>
          <w:tcPr>
            <w:tcW w:w="753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</w:t>
            </w:r>
          </w:p>
        </w:tc>
        <w:tc>
          <w:tcPr>
            <w:tcW w:w="812" w:type="dxa"/>
          </w:tcPr>
          <w:p w:rsidR="005936C1" w:rsidRPr="00E4647B" w:rsidRDefault="005936C1" w:rsidP="00150782">
            <w:pPr>
              <w:pStyle w:val="BodyText"/>
            </w:pPr>
            <w:r w:rsidRPr="00E4647B" w:rsidDel="00A36483">
              <w:t>1.1</w:t>
            </w:r>
          </w:p>
        </w:tc>
      </w:tr>
    </w:tbl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Suppose the second roll gives</w:t>
      </w:r>
    </w:p>
    <w:p w:rsidR="005936C1" w:rsidRDefault="00B901C2" w:rsidP="00B901C2">
      <w:pPr>
        <w:pStyle w:val="BodyText"/>
        <w:spacing w:before="1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936C1">
        <w:t>(Green 4) (Red 2) (White 6)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By compounding, you get</w:t>
      </w:r>
    </w:p>
    <w:p w:rsidR="005936C1" w:rsidRPr="0071236A" w:rsidRDefault="00B901C2" w:rsidP="00150782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936C1" w:rsidRPr="0071236A">
        <w:t>Green:</w:t>
      </w:r>
      <w:r w:rsidR="005936C1" w:rsidRPr="0071236A">
        <w:tab/>
        <w:t>$900  ·  1.1   = $990</w:t>
      </w:r>
    </w:p>
    <w:p w:rsidR="005936C1" w:rsidRPr="0071236A" w:rsidRDefault="00B901C2" w:rsidP="00150782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936C1" w:rsidRPr="0071236A">
        <w:t>Red:</w:t>
      </w:r>
      <w:r w:rsidR="005936C1" w:rsidRPr="0071236A">
        <w:tab/>
      </w:r>
      <w:r w:rsidR="00DE1691">
        <w:tab/>
      </w:r>
      <w:r w:rsidR="005936C1" w:rsidRPr="0071236A">
        <w:t>$3000 · 0.2   = $600</w:t>
      </w:r>
    </w:p>
    <w:p w:rsidR="005936C1" w:rsidRDefault="00B901C2" w:rsidP="00150782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936C1" w:rsidRPr="0071236A">
        <w:t xml:space="preserve">White:  </w:t>
      </w:r>
      <w:r w:rsidR="005936C1" w:rsidRPr="0071236A">
        <w:tab/>
        <w:t>$1000 · 1.1   = $1100</w:t>
      </w:r>
    </w:p>
    <w:p w:rsidR="005936C1" w:rsidRDefault="005936C1" w:rsidP="00150782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86"/>
        <w:gridCol w:w="908"/>
        <w:gridCol w:w="908"/>
        <w:gridCol w:w="892"/>
        <w:gridCol w:w="1065"/>
        <w:gridCol w:w="753"/>
        <w:gridCol w:w="812"/>
      </w:tblGrid>
      <w:tr w:rsidR="005936C1" w:rsidRPr="00E4647B">
        <w:trPr>
          <w:jc w:val="center"/>
        </w:trPr>
        <w:tc>
          <w:tcPr>
            <w:tcW w:w="1786" w:type="dxa"/>
            <w:shd w:val="clear" w:color="auto" w:fill="FFFF66"/>
          </w:tcPr>
          <w:p w:rsidR="005936C1" w:rsidRPr="00E4647B" w:rsidRDefault="005936C1" w:rsidP="00150782">
            <w:pPr>
              <w:pStyle w:val="BodyText"/>
            </w:pPr>
            <w:r w:rsidRPr="00E4647B">
              <w:t>Die value</w:t>
            </w:r>
          </w:p>
        </w:tc>
        <w:tc>
          <w:tcPr>
            <w:tcW w:w="908" w:type="dxa"/>
            <w:shd w:val="clear" w:color="auto" w:fill="FFFF66"/>
          </w:tcPr>
          <w:p w:rsidR="005936C1" w:rsidRPr="00E4647B" w:rsidRDefault="005936C1" w:rsidP="00745736">
            <w:pPr>
              <w:pStyle w:val="BodyText"/>
              <w:jc w:val="center"/>
            </w:pPr>
            <w:r w:rsidRPr="00E4647B">
              <w:t>1</w:t>
            </w:r>
          </w:p>
        </w:tc>
        <w:tc>
          <w:tcPr>
            <w:tcW w:w="908" w:type="dxa"/>
            <w:shd w:val="clear" w:color="auto" w:fill="FFFF66"/>
          </w:tcPr>
          <w:p w:rsidR="005936C1" w:rsidRPr="00E4647B" w:rsidRDefault="005936C1" w:rsidP="00745736">
            <w:pPr>
              <w:pStyle w:val="BodyText"/>
              <w:jc w:val="center"/>
            </w:pPr>
            <w:r w:rsidRPr="00E4647B">
              <w:t>2</w:t>
            </w:r>
          </w:p>
        </w:tc>
        <w:tc>
          <w:tcPr>
            <w:tcW w:w="892" w:type="dxa"/>
            <w:shd w:val="clear" w:color="auto" w:fill="FFFF66"/>
          </w:tcPr>
          <w:p w:rsidR="005936C1" w:rsidRPr="00E4647B" w:rsidRDefault="005936C1" w:rsidP="00745736">
            <w:pPr>
              <w:pStyle w:val="BodyText"/>
              <w:jc w:val="center"/>
            </w:pPr>
            <w:r w:rsidRPr="00E4647B">
              <w:t>3</w:t>
            </w:r>
          </w:p>
        </w:tc>
        <w:tc>
          <w:tcPr>
            <w:tcW w:w="1065" w:type="dxa"/>
            <w:shd w:val="clear" w:color="auto" w:fill="FFFF66"/>
          </w:tcPr>
          <w:p w:rsidR="005936C1" w:rsidRPr="00E4647B" w:rsidRDefault="005936C1" w:rsidP="00745736">
            <w:pPr>
              <w:pStyle w:val="BodyText"/>
              <w:jc w:val="center"/>
            </w:pPr>
            <w:r w:rsidRPr="00E4647B">
              <w:t>4</w:t>
            </w:r>
          </w:p>
        </w:tc>
        <w:tc>
          <w:tcPr>
            <w:tcW w:w="753" w:type="dxa"/>
            <w:shd w:val="clear" w:color="auto" w:fill="FFFF66"/>
          </w:tcPr>
          <w:p w:rsidR="005936C1" w:rsidRPr="00E4647B" w:rsidRDefault="005936C1" w:rsidP="00745736">
            <w:pPr>
              <w:pStyle w:val="BodyText"/>
              <w:jc w:val="center"/>
            </w:pPr>
            <w:r w:rsidRPr="00E4647B">
              <w:t>5</w:t>
            </w:r>
          </w:p>
        </w:tc>
        <w:tc>
          <w:tcPr>
            <w:tcW w:w="812" w:type="dxa"/>
            <w:shd w:val="clear" w:color="auto" w:fill="FFFF66"/>
          </w:tcPr>
          <w:p w:rsidR="005936C1" w:rsidRPr="00E4647B" w:rsidRDefault="005936C1" w:rsidP="00745736">
            <w:pPr>
              <w:pStyle w:val="BodyText"/>
              <w:jc w:val="center"/>
            </w:pPr>
            <w:r w:rsidRPr="00E4647B">
              <w:t>6</w:t>
            </w:r>
          </w:p>
        </w:tc>
      </w:tr>
      <w:tr w:rsidR="005936C1" w:rsidRPr="00E4647B">
        <w:trPr>
          <w:jc w:val="center"/>
        </w:trPr>
        <w:tc>
          <w:tcPr>
            <w:tcW w:w="1786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Green</w:t>
            </w:r>
          </w:p>
        </w:tc>
        <w:tc>
          <w:tcPr>
            <w:tcW w:w="908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0.8</w:t>
            </w:r>
          </w:p>
        </w:tc>
        <w:tc>
          <w:tcPr>
            <w:tcW w:w="908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0.9</w:t>
            </w:r>
          </w:p>
        </w:tc>
        <w:tc>
          <w:tcPr>
            <w:tcW w:w="892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1.1</w:t>
            </w:r>
          </w:p>
        </w:tc>
        <w:tc>
          <w:tcPr>
            <w:tcW w:w="1065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1.1</w:t>
            </w:r>
          </w:p>
        </w:tc>
        <w:tc>
          <w:tcPr>
            <w:tcW w:w="753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1.2</w:t>
            </w:r>
          </w:p>
        </w:tc>
        <w:tc>
          <w:tcPr>
            <w:tcW w:w="812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1.4</w:t>
            </w:r>
          </w:p>
        </w:tc>
      </w:tr>
      <w:tr w:rsidR="005936C1" w:rsidRPr="00E4647B">
        <w:trPr>
          <w:jc w:val="center"/>
        </w:trPr>
        <w:tc>
          <w:tcPr>
            <w:tcW w:w="1786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Red</w:t>
            </w:r>
          </w:p>
        </w:tc>
        <w:tc>
          <w:tcPr>
            <w:tcW w:w="908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0.06</w:t>
            </w:r>
          </w:p>
        </w:tc>
        <w:tc>
          <w:tcPr>
            <w:tcW w:w="908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0.2</w:t>
            </w:r>
          </w:p>
        </w:tc>
        <w:tc>
          <w:tcPr>
            <w:tcW w:w="892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</w:t>
            </w:r>
          </w:p>
        </w:tc>
        <w:tc>
          <w:tcPr>
            <w:tcW w:w="1065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3</w:t>
            </w:r>
          </w:p>
        </w:tc>
        <w:tc>
          <w:tcPr>
            <w:tcW w:w="753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3</w:t>
            </w:r>
          </w:p>
        </w:tc>
        <w:tc>
          <w:tcPr>
            <w:tcW w:w="812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3</w:t>
            </w:r>
          </w:p>
        </w:tc>
      </w:tr>
      <w:tr w:rsidR="005936C1" w:rsidRPr="00E4647B">
        <w:trPr>
          <w:jc w:val="center"/>
        </w:trPr>
        <w:tc>
          <w:tcPr>
            <w:tcW w:w="1786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White</w:t>
            </w:r>
          </w:p>
        </w:tc>
        <w:tc>
          <w:tcPr>
            <w:tcW w:w="908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0.95</w:t>
            </w:r>
          </w:p>
        </w:tc>
        <w:tc>
          <w:tcPr>
            <w:tcW w:w="908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</w:t>
            </w:r>
          </w:p>
        </w:tc>
        <w:tc>
          <w:tcPr>
            <w:tcW w:w="892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</w:t>
            </w:r>
          </w:p>
        </w:tc>
        <w:tc>
          <w:tcPr>
            <w:tcW w:w="1065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</w:t>
            </w:r>
          </w:p>
        </w:tc>
        <w:tc>
          <w:tcPr>
            <w:tcW w:w="753" w:type="dxa"/>
          </w:tcPr>
          <w:p w:rsidR="005936C1" w:rsidRPr="00E4647B" w:rsidRDefault="005936C1" w:rsidP="00150782">
            <w:pPr>
              <w:pStyle w:val="BodyText"/>
            </w:pPr>
            <w:r w:rsidRPr="00E4647B">
              <w:t>1</w:t>
            </w:r>
          </w:p>
        </w:tc>
        <w:tc>
          <w:tcPr>
            <w:tcW w:w="812" w:type="dxa"/>
          </w:tcPr>
          <w:p w:rsidR="005936C1" w:rsidRPr="00E4647B" w:rsidRDefault="005936C1" w:rsidP="00150782">
            <w:pPr>
              <w:pStyle w:val="BodyText"/>
            </w:pPr>
            <w:r w:rsidRPr="00E4647B" w:rsidDel="00A36483">
              <w:t>1.1</w:t>
            </w:r>
          </w:p>
        </w:tc>
      </w:tr>
    </w:tbl>
    <w:p w:rsidR="005936C1" w:rsidRDefault="005936C1" w:rsidP="00B901C2">
      <w:pPr>
        <w:pStyle w:val="BodyText"/>
        <w:spacing w:before="120"/>
      </w:pPr>
      <w:r>
        <w:t>Note that Green went down by 10% and then up by 10%, but ended up losing value.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Why does that happen?</w:t>
      </w:r>
    </w:p>
    <w:p w:rsidR="005936C1" w:rsidRPr="002B0825" w:rsidRDefault="005936C1" w:rsidP="00150782">
      <w:pPr>
        <w:pStyle w:val="Heading1"/>
      </w:pPr>
      <w:r w:rsidRPr="002B0825">
        <w:t>A Class Experiment</w:t>
      </w:r>
    </w:p>
    <w:p w:rsidR="005936C1" w:rsidRDefault="005936C1" w:rsidP="00150782">
      <w:pPr>
        <w:pStyle w:val="BodyText"/>
      </w:pPr>
      <w:r>
        <w:t>Form teams of 3 to 4 students.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Start with $1,000 in each investment and carry out the simulation for 20 years of returns. Each roll of all three dice represents one year.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Roles for team members: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Quotation"/>
      </w:pPr>
      <w:r>
        <w:t>“Nature” rolls the dice.</w:t>
      </w:r>
    </w:p>
    <w:p w:rsidR="005936C1" w:rsidRDefault="005936C1" w:rsidP="00150782">
      <w:pPr>
        <w:pStyle w:val="BodyQuotation"/>
      </w:pPr>
      <w:r>
        <w:t>“Market” finds the dice and records outcome.</w:t>
      </w:r>
    </w:p>
    <w:p w:rsidR="005936C1" w:rsidRDefault="005936C1" w:rsidP="00150782">
      <w:pPr>
        <w:pStyle w:val="BodyQuotation"/>
      </w:pPr>
      <w:r>
        <w:t>“Accountant” keeps track of what happens.</w:t>
      </w:r>
    </w:p>
    <w:p w:rsidR="005936C1" w:rsidRDefault="005936C1" w:rsidP="00150782">
      <w:pPr>
        <w:pStyle w:val="BodyQuotation"/>
      </w:pPr>
      <w:r>
        <w:t>Others manage and keep the rest making progress.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Record the sequence of results on the results form as shown on the next page.</w:t>
      </w:r>
    </w:p>
    <w:p w:rsidR="005936C1" w:rsidDel="00A36483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br w:type="page"/>
        <w:t>We’ve filled in the first two rounds to match the previous two outcomes to illustrate the calculations. Use the outcomes from rolling the dice to determine what happens to your investments.</w:t>
      </w:r>
    </w:p>
    <w:p w:rsidR="005936C1" w:rsidRDefault="005936C1" w:rsidP="00150782">
      <w:pPr>
        <w:pStyle w:val="BodyText"/>
      </w:pPr>
    </w:p>
    <w:tbl>
      <w:tblPr>
        <w:tblW w:w="0" w:type="auto"/>
        <w:jc w:val="center"/>
        <w:tblInd w:w="-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03"/>
        <w:gridCol w:w="1255"/>
        <w:gridCol w:w="1256"/>
        <w:gridCol w:w="1255"/>
        <w:gridCol w:w="1256"/>
      </w:tblGrid>
      <w:tr w:rsidR="005936C1" w:rsidRPr="00E754B6">
        <w:trPr>
          <w:jc w:val="center"/>
        </w:trPr>
        <w:tc>
          <w:tcPr>
            <w:tcW w:w="2303" w:type="dxa"/>
          </w:tcPr>
          <w:p w:rsidR="005936C1" w:rsidRPr="006E7FE4" w:rsidRDefault="005936C1" w:rsidP="00150782">
            <w:pPr>
              <w:pStyle w:val="BodyText"/>
            </w:pPr>
            <w:r w:rsidRPr="006E7FE4">
              <w:t>Round</w:t>
            </w:r>
          </w:p>
        </w:tc>
        <w:tc>
          <w:tcPr>
            <w:tcW w:w="1255" w:type="dxa"/>
          </w:tcPr>
          <w:p w:rsidR="005936C1" w:rsidRPr="006E7FE4" w:rsidRDefault="005936C1" w:rsidP="00150782">
            <w:pPr>
              <w:pStyle w:val="BodyText"/>
            </w:pPr>
            <w:r w:rsidRPr="006E7FE4">
              <w:t>Green</w:t>
            </w:r>
          </w:p>
        </w:tc>
        <w:tc>
          <w:tcPr>
            <w:tcW w:w="1256" w:type="dxa"/>
          </w:tcPr>
          <w:p w:rsidR="005936C1" w:rsidRPr="006E7FE4" w:rsidRDefault="005936C1" w:rsidP="00150782">
            <w:pPr>
              <w:pStyle w:val="BodyText"/>
            </w:pPr>
            <w:r w:rsidRPr="006E7FE4">
              <w:t>Red</w:t>
            </w:r>
          </w:p>
        </w:tc>
        <w:tc>
          <w:tcPr>
            <w:tcW w:w="1255" w:type="dxa"/>
          </w:tcPr>
          <w:p w:rsidR="005936C1" w:rsidRPr="006E7FE4" w:rsidRDefault="005936C1" w:rsidP="00150782">
            <w:pPr>
              <w:pStyle w:val="BodyText"/>
            </w:pPr>
            <w:r w:rsidRPr="006E7FE4">
              <w:t>White</w:t>
            </w:r>
          </w:p>
        </w:tc>
        <w:tc>
          <w:tcPr>
            <w:tcW w:w="1256" w:type="dxa"/>
          </w:tcPr>
          <w:p w:rsidR="005936C1" w:rsidRPr="00E754B6" w:rsidRDefault="005936C1" w:rsidP="00150782">
            <w:pPr>
              <w:pStyle w:val="BodyText"/>
            </w:pPr>
          </w:p>
        </w:tc>
      </w:tr>
      <w:tr w:rsidR="005936C1" w:rsidRPr="00E754B6">
        <w:trPr>
          <w:jc w:val="center"/>
        </w:trPr>
        <w:tc>
          <w:tcPr>
            <w:tcW w:w="2303" w:type="dxa"/>
            <w:tcBorders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  <w:r w:rsidRPr="00E754B6">
              <w:t>Starting value</w:t>
            </w:r>
          </w:p>
        </w:tc>
        <w:tc>
          <w:tcPr>
            <w:tcW w:w="1255" w:type="dxa"/>
            <w:tcBorders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  <w:r w:rsidRPr="00E754B6">
              <w:t>$1,000</w:t>
            </w:r>
          </w:p>
        </w:tc>
        <w:tc>
          <w:tcPr>
            <w:tcW w:w="1256" w:type="dxa"/>
            <w:tcBorders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  <w:r w:rsidRPr="00E754B6">
              <w:t>$1</w:t>
            </w:r>
            <w:r>
              <w:t>,</w:t>
            </w:r>
            <w:r w:rsidRPr="00E754B6">
              <w:t>000</w:t>
            </w:r>
          </w:p>
        </w:tc>
        <w:tc>
          <w:tcPr>
            <w:tcW w:w="1255" w:type="dxa"/>
            <w:tcBorders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  <w:r w:rsidRPr="00E754B6">
              <w:t>$1</w:t>
            </w:r>
            <w:r>
              <w:t>,</w:t>
            </w:r>
            <w:r w:rsidRPr="00E754B6">
              <w:t>000</w:t>
            </w:r>
          </w:p>
        </w:tc>
        <w:tc>
          <w:tcPr>
            <w:tcW w:w="1256" w:type="dxa"/>
            <w:tcBorders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</w:p>
        </w:tc>
      </w:tr>
      <w:tr w:rsidR="005936C1" w:rsidRPr="00E754B6">
        <w:trPr>
          <w:jc w:val="center"/>
        </w:trPr>
        <w:tc>
          <w:tcPr>
            <w:tcW w:w="2303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150782">
            <w:pPr>
              <w:pStyle w:val="BodyText"/>
            </w:pPr>
            <w:r w:rsidRPr="00E754B6">
              <w:t>gross return</w:t>
            </w:r>
            <w:r w:rsidRPr="006E7FE4">
              <w:rPr>
                <w:vertAlign w:val="subscript"/>
              </w:rPr>
              <w:t>1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150782">
            <w:pPr>
              <w:pStyle w:val="BodyText"/>
            </w:pPr>
            <w:r w:rsidRPr="00E754B6">
              <w:t>0.9</w:t>
            </w: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150782">
            <w:pPr>
              <w:pStyle w:val="BodyText"/>
            </w:pPr>
            <w:r w:rsidRPr="00E754B6">
              <w:t>3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150782">
            <w:pPr>
              <w:pStyle w:val="BodyText"/>
            </w:pPr>
            <w:r w:rsidRPr="00E754B6">
              <w:t>1</w:t>
            </w: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150782">
            <w:pPr>
              <w:pStyle w:val="BodyText"/>
            </w:pPr>
          </w:p>
        </w:tc>
      </w:tr>
      <w:tr w:rsidR="005936C1" w:rsidRPr="00E754B6">
        <w:trPr>
          <w:jc w:val="center"/>
        </w:trPr>
        <w:tc>
          <w:tcPr>
            <w:tcW w:w="2303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  <w:r w:rsidRPr="00E754B6">
              <w:t>value</w:t>
            </w:r>
            <w:r w:rsidRPr="006E7FE4">
              <w:rPr>
                <w:vertAlign w:val="subscript"/>
              </w:rPr>
              <w:t>1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  <w:r w:rsidRPr="00E754B6">
              <w:t>900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  <w:r w:rsidRPr="00E754B6">
              <w:t>3,000</w:t>
            </w:r>
          </w:p>
        </w:tc>
        <w:tc>
          <w:tcPr>
            <w:tcW w:w="1255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  <w:r w:rsidRPr="00E754B6">
              <w:t>1,000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</w:p>
        </w:tc>
      </w:tr>
      <w:tr w:rsidR="005936C1" w:rsidRPr="00E754B6">
        <w:trPr>
          <w:jc w:val="center"/>
        </w:trPr>
        <w:tc>
          <w:tcPr>
            <w:tcW w:w="2303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150782">
            <w:pPr>
              <w:pStyle w:val="BodyText"/>
            </w:pPr>
            <w:bookmarkStart w:id="1" w:name="OLE_LINK3"/>
            <w:bookmarkStart w:id="2" w:name="OLE_LINK4"/>
            <w:r w:rsidRPr="00E754B6">
              <w:t>gross return</w:t>
            </w:r>
            <w:bookmarkEnd w:id="1"/>
            <w:bookmarkEnd w:id="2"/>
            <w:r w:rsidRPr="006E7FE4">
              <w:rPr>
                <w:vertAlign w:val="subscript"/>
              </w:rPr>
              <w:t>2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150782">
            <w:pPr>
              <w:pStyle w:val="BodyText"/>
            </w:pPr>
            <w:r w:rsidRPr="00E754B6">
              <w:t>1.1</w:t>
            </w: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150782">
            <w:pPr>
              <w:pStyle w:val="BodyText"/>
            </w:pPr>
            <w:r w:rsidRPr="00E754B6">
              <w:t>0.2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150782">
            <w:pPr>
              <w:pStyle w:val="BodyText"/>
            </w:pPr>
            <w:r w:rsidRPr="00E754B6">
              <w:t>1.1</w:t>
            </w: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150782">
            <w:pPr>
              <w:pStyle w:val="BodyText"/>
            </w:pPr>
          </w:p>
        </w:tc>
      </w:tr>
      <w:tr w:rsidR="005936C1" w:rsidRPr="00E754B6">
        <w:trPr>
          <w:jc w:val="center"/>
        </w:trPr>
        <w:tc>
          <w:tcPr>
            <w:tcW w:w="2303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  <w:r w:rsidRPr="00E754B6">
              <w:t>value</w:t>
            </w:r>
            <w:r w:rsidRPr="006E7FE4">
              <w:rPr>
                <w:vertAlign w:val="subscript"/>
              </w:rPr>
              <w:t>2</w:t>
            </w:r>
          </w:p>
        </w:tc>
        <w:tc>
          <w:tcPr>
            <w:tcW w:w="1255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  <w:r w:rsidRPr="00E754B6">
              <w:t>990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  <w:r w:rsidRPr="00E754B6">
              <w:t>600</w:t>
            </w:r>
          </w:p>
        </w:tc>
        <w:tc>
          <w:tcPr>
            <w:tcW w:w="1255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  <w:r w:rsidRPr="00E754B6">
              <w:t>1,100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</w:p>
        </w:tc>
      </w:tr>
      <w:tr w:rsidR="005936C1" w:rsidRPr="00E754B6">
        <w:trPr>
          <w:jc w:val="center"/>
        </w:trPr>
        <w:tc>
          <w:tcPr>
            <w:tcW w:w="2303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150782">
            <w:pPr>
              <w:pStyle w:val="BodyText"/>
            </w:pPr>
            <w:r w:rsidRPr="00E754B6">
              <w:t>gross return</w:t>
            </w:r>
            <w:r w:rsidRPr="006E7FE4">
              <w:rPr>
                <w:vertAlign w:val="subscript"/>
              </w:rPr>
              <w:t>3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150782">
            <w:pPr>
              <w:pStyle w:val="BodyText"/>
            </w:pP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150782">
            <w:pPr>
              <w:pStyle w:val="BodyText"/>
            </w:pP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150782">
            <w:pPr>
              <w:pStyle w:val="BodyText"/>
            </w:pP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5936C1" w:rsidRPr="00E754B6" w:rsidRDefault="005936C1" w:rsidP="00150782">
            <w:pPr>
              <w:pStyle w:val="BodyText"/>
            </w:pPr>
          </w:p>
        </w:tc>
      </w:tr>
      <w:tr w:rsidR="005936C1" w:rsidRPr="00E754B6">
        <w:trPr>
          <w:jc w:val="center"/>
        </w:trPr>
        <w:tc>
          <w:tcPr>
            <w:tcW w:w="2303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  <w:r w:rsidRPr="00E754B6">
              <w:t>value</w:t>
            </w:r>
            <w:r w:rsidRPr="006E7FE4">
              <w:rPr>
                <w:vertAlign w:val="subscript"/>
              </w:rPr>
              <w:t>3</w:t>
            </w:r>
          </w:p>
        </w:tc>
        <w:tc>
          <w:tcPr>
            <w:tcW w:w="1255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  <w:r w:rsidRPr="006E7FE4">
              <w:t xml:space="preserve"> 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  <w:r w:rsidRPr="006E7FE4">
              <w:t xml:space="preserve"> </w:t>
            </w:r>
          </w:p>
        </w:tc>
        <w:tc>
          <w:tcPr>
            <w:tcW w:w="1255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  <w:r w:rsidRPr="006E7FE4">
              <w:t xml:space="preserve"> 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:rsidR="005936C1" w:rsidRPr="00E754B6" w:rsidRDefault="005936C1" w:rsidP="00150782">
            <w:pPr>
              <w:pStyle w:val="BodyText"/>
            </w:pPr>
          </w:p>
        </w:tc>
      </w:tr>
      <w:tr w:rsidR="005936C1" w:rsidRPr="008C056E">
        <w:trPr>
          <w:jc w:val="center"/>
        </w:trPr>
        <w:tc>
          <w:tcPr>
            <w:tcW w:w="2303" w:type="dxa"/>
            <w:tcBorders>
              <w:top w:val="nil"/>
              <w:bottom w:val="single" w:sz="4" w:space="0" w:color="auto"/>
            </w:tcBorders>
          </w:tcPr>
          <w:p w:rsidR="005936C1" w:rsidRPr="008C056E" w:rsidRDefault="005936C1" w:rsidP="00150782">
            <w:pPr>
              <w:pStyle w:val="BodyText"/>
            </w:pPr>
            <w:r w:rsidRPr="00E754B6">
              <w:t>gross return</w:t>
            </w:r>
            <w:r w:rsidRPr="006E7FE4">
              <w:rPr>
                <w:vertAlign w:val="subscript"/>
              </w:rPr>
              <w:t>4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5936C1" w:rsidRPr="008C056E" w:rsidRDefault="005936C1" w:rsidP="00150782">
            <w:pPr>
              <w:pStyle w:val="BodyText"/>
            </w:pP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5936C1" w:rsidRPr="008C056E" w:rsidRDefault="005936C1" w:rsidP="00150782">
            <w:pPr>
              <w:pStyle w:val="BodyText"/>
            </w:pP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:rsidR="005936C1" w:rsidRPr="008C056E" w:rsidRDefault="005936C1" w:rsidP="00150782">
            <w:pPr>
              <w:pStyle w:val="BodyText"/>
            </w:pP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:rsidR="005936C1" w:rsidRPr="008C056E" w:rsidRDefault="005936C1" w:rsidP="00150782">
            <w:pPr>
              <w:pStyle w:val="BodyText"/>
            </w:pPr>
          </w:p>
        </w:tc>
      </w:tr>
    </w:tbl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 xml:space="preserve">What happened? 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Are you surprised?</w:t>
      </w:r>
    </w:p>
    <w:p w:rsidR="005936C1" w:rsidRPr="002B0825" w:rsidRDefault="005936C1" w:rsidP="00150782">
      <w:pPr>
        <w:pStyle w:val="Heading1"/>
      </w:pPr>
      <w:r>
        <w:rPr>
          <w:sz w:val="40"/>
          <w:szCs w:val="40"/>
        </w:rPr>
        <w:br w:type="page"/>
      </w:r>
      <w:r w:rsidRPr="002B0825">
        <w:t>A Hybrid Investment</w:t>
      </w:r>
    </w:p>
    <w:p w:rsidR="005936C1" w:rsidRDefault="005936C1" w:rsidP="00150782">
      <w:pPr>
        <w:pStyle w:val="BodyText"/>
      </w:pPr>
      <w:r>
        <w:t>Consider a fourth investment which puts half in Red and half in White</w:t>
      </w:r>
      <w:r w:rsidRPr="00770A47">
        <w:rPr>
          <w:b/>
          <w:sz w:val="24"/>
          <w:szCs w:val="24"/>
        </w:rPr>
        <w:t>—</w:t>
      </w:r>
      <w:r>
        <w:t>call it Pink.</w:t>
      </w:r>
    </w:p>
    <w:p w:rsidR="005936C1" w:rsidRDefault="005936C1" w:rsidP="00150782">
      <w:pPr>
        <w:pStyle w:val="BodyText"/>
        <w:rPr>
          <w:b/>
        </w:rPr>
      </w:pPr>
      <w:r>
        <w:t xml:space="preserve">The gross return on Pink is just the average of the gross return in each round on </w:t>
      </w:r>
      <w:r w:rsidRPr="00C11DCA">
        <w:t>Red and White</w:t>
      </w:r>
      <w:r>
        <w:t>. So you can find out what happens to Pink without needing to roll the dice further.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For example, for the first round illustrated on p</w:t>
      </w:r>
      <w:r w:rsidR="00422D24">
        <w:t>g</w:t>
      </w:r>
      <w:r>
        <w:t xml:space="preserve"> </w:t>
      </w:r>
      <w:r w:rsidR="00422D24">
        <w:t>3</w:t>
      </w:r>
      <w:r>
        <w:t>-7, the gross return on Pink is the average of the gross return on Red and White, namely (3+1)/2 = 2.</w:t>
      </w:r>
    </w:p>
    <w:p w:rsidR="005936C1" w:rsidRDefault="005936C1" w:rsidP="00150782">
      <w:pPr>
        <w:pStyle w:val="BodyText"/>
      </w:pPr>
    </w:p>
    <w:p w:rsidR="005936C1" w:rsidRDefault="00B901C2" w:rsidP="00150782">
      <w:pPr>
        <w:pStyle w:val="BodyText"/>
      </w:pPr>
      <w:r>
        <w:tab/>
      </w:r>
      <w:r>
        <w:tab/>
      </w:r>
      <w:r>
        <w:tab/>
      </w:r>
      <w:r>
        <w:tab/>
      </w:r>
      <w:r w:rsidR="005936C1" w:rsidRPr="0084079C">
        <w:t>Pink:</w:t>
      </w:r>
      <w:r w:rsidR="00745736">
        <w:tab/>
      </w:r>
      <w:r w:rsidR="005936C1" w:rsidRPr="0084079C">
        <w:t xml:space="preserve"> $1,000 · 2  = $2,000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 xml:space="preserve">In the second round, the gross </w:t>
      </w:r>
      <w:r w:rsidDel="00A36483">
        <w:t>return</w:t>
      </w:r>
      <w:r>
        <w:t xml:space="preserve"> on Pink would be (0.2 + 1.1)/2 = 0.65 yielding</w:t>
      </w:r>
    </w:p>
    <w:p w:rsidR="005936C1" w:rsidRDefault="005936C1" w:rsidP="00150782">
      <w:pPr>
        <w:pStyle w:val="BodyText"/>
      </w:pPr>
    </w:p>
    <w:p w:rsidR="005936C1" w:rsidRDefault="00B901C2" w:rsidP="00150782">
      <w:pPr>
        <w:pStyle w:val="BodyText"/>
      </w:pPr>
      <w:r>
        <w:tab/>
      </w:r>
      <w:r>
        <w:tab/>
      </w:r>
      <w:r>
        <w:tab/>
      </w:r>
      <w:r>
        <w:tab/>
      </w:r>
      <w:r w:rsidR="005936C1">
        <w:t xml:space="preserve">Pink: </w:t>
      </w:r>
      <w:r w:rsidR="00745736">
        <w:tab/>
      </w:r>
      <w:r w:rsidR="005936C1">
        <w:t>$2,000 · 0.65  = $1,300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How does Pink fare in your simulation?  (</w:t>
      </w:r>
      <w:r w:rsidDel="00A36483">
        <w:t>N</w:t>
      </w:r>
      <w:r>
        <w:t>o more dice tossing. Just compute the gross returns using the information recorded on your data sheet).</w:t>
      </w:r>
    </w:p>
    <w:p w:rsidR="005936C1" w:rsidRPr="005C7A0E" w:rsidRDefault="005936C1" w:rsidP="00150782">
      <w:pPr>
        <w:pStyle w:val="Heading1"/>
      </w:pPr>
      <w:r>
        <w:rPr>
          <w:sz w:val="40"/>
          <w:szCs w:val="40"/>
        </w:rPr>
        <w:br w:type="page"/>
      </w:r>
      <w:r w:rsidRPr="005C7A0E">
        <w:t>Performing the Simulation on a Computer</w:t>
      </w:r>
    </w:p>
    <w:p w:rsidR="005936C1" w:rsidRDefault="005936C1" w:rsidP="00E30840">
      <w:pPr>
        <w:pStyle w:val="BodyText"/>
        <w:spacing w:after="120"/>
      </w:pPr>
      <w:r>
        <w:t xml:space="preserve">The file </w:t>
      </w:r>
      <w:r w:rsidRPr="0084079C">
        <w:rPr>
          <w:i/>
        </w:rPr>
        <w:t>dicesim.JMP</w:t>
      </w:r>
      <w:r>
        <w:t xml:space="preserve"> is set up to perform the simulation in JMP. Opening the file and adding 20 rows yields:</w:t>
      </w:r>
    </w:p>
    <w:p w:rsidR="005936C1" w:rsidRDefault="00486EA3" w:rsidP="005936C1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7426960" cy="4582160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96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C1" w:rsidRDefault="005936C1" w:rsidP="00150782">
      <w:pPr>
        <w:pStyle w:val="BodyText"/>
      </w:pPr>
      <w:r>
        <w:t>Essentially, the computer “rolls the dice” in the three columns: Red Die, White Die, and Green Die.</w:t>
      </w:r>
      <w:r w:rsidRPr="0084079C">
        <w:rPr>
          <w:rStyle w:val="FootnoteReference"/>
          <w:color w:val="000000"/>
          <w:sz w:val="28"/>
          <w:szCs w:val="28"/>
        </w:rPr>
        <w:footnoteReference w:id="3"/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Note the persistent behavior of each of these four investments, especially if you let the computer do a few more rounds. Which investment consistently wins?</w:t>
      </w:r>
    </w:p>
    <w:p w:rsidR="005936C1" w:rsidRDefault="005936C1" w:rsidP="00150782">
      <w:pPr>
        <w:pStyle w:val="Heading1"/>
      </w:pPr>
    </w:p>
    <w:p w:rsidR="005936C1" w:rsidRPr="005C7A0E" w:rsidRDefault="005936C1" w:rsidP="00150782">
      <w:pPr>
        <w:pStyle w:val="Heading1"/>
      </w:pPr>
      <w:r w:rsidRPr="005C7A0E">
        <w:t>Variances and Volatility Drag</w:t>
      </w:r>
    </w:p>
    <w:p w:rsidR="005936C1" w:rsidRDefault="005936C1" w:rsidP="00150782">
      <w:pPr>
        <w:pStyle w:val="BodyText"/>
      </w:pPr>
      <w:r>
        <w:t>Let’s turn to understanding the simulation results.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Example: Your starting salary was $100,000. You received a salary increase of 10% and then a salary reduction of 10%. What is your current salary?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Quotation"/>
      </w:pPr>
      <w:r>
        <w:t xml:space="preserve">What would happen to your salary if this up/down bounce </w:t>
      </w:r>
      <w:r w:rsidR="00745736">
        <w:t>were</w:t>
      </w:r>
      <w:r>
        <w:t xml:space="preserve"> repeated over and over?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Volatility hurts by eating away at the average rate of return.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br w:type="page"/>
        <w:t xml:space="preserve">As </w:t>
      </w:r>
      <w:r w:rsidR="007E0B31">
        <w:t>shown in the supplement at the end of this module</w:t>
      </w:r>
      <w:r>
        <w:t>, it turns out that</w:t>
      </w:r>
    </w:p>
    <w:p w:rsidR="005936C1" w:rsidRDefault="005936C1" w:rsidP="00150782">
      <w:pPr>
        <w:pStyle w:val="BodyText"/>
      </w:pPr>
    </w:p>
    <w:p w:rsidR="005936C1" w:rsidRPr="00DC10EB" w:rsidRDefault="005936C1" w:rsidP="00150782">
      <w:pPr>
        <w:pStyle w:val="BodyText"/>
        <w:rPr>
          <w:i/>
        </w:rPr>
      </w:pPr>
      <w:r w:rsidRPr="00DC10EB">
        <w:rPr>
          <w:i/>
        </w:rPr>
        <w:t xml:space="preserve">Long-run </w:t>
      </w:r>
      <w:r w:rsidR="00AA7DF2" w:rsidRPr="00DC10EB">
        <w:rPr>
          <w:i/>
        </w:rPr>
        <w:t xml:space="preserve">multi-period </w:t>
      </w:r>
      <w:r w:rsidRPr="00DC10EB">
        <w:rPr>
          <w:i/>
        </w:rPr>
        <w:t xml:space="preserve">gross return </w:t>
      </w:r>
      <w:r w:rsidR="00BA40F7" w:rsidRPr="00DC10EB">
        <w:rPr>
          <w:i/>
        </w:rPr>
        <w:t xml:space="preserve"> </w:t>
      </w:r>
      <w:r w:rsidRPr="00DC10EB">
        <w:rPr>
          <w:i/>
        </w:rPr>
        <w:sym w:font="Symbol" w:char="F0BB"/>
      </w:r>
      <w:r w:rsidR="00BA40F7" w:rsidRPr="00DC10EB">
        <w:rPr>
          <w:i/>
        </w:rPr>
        <w:t xml:space="preserve"> </w:t>
      </w:r>
      <w:r w:rsidRPr="00DC10EB">
        <w:rPr>
          <w:i/>
        </w:rPr>
        <w:t xml:space="preserve"> Expected </w:t>
      </w:r>
      <w:r w:rsidR="00AA7DF2" w:rsidRPr="00DC10EB">
        <w:rPr>
          <w:i/>
        </w:rPr>
        <w:t xml:space="preserve">single-period </w:t>
      </w:r>
      <w:r w:rsidRPr="00DC10EB">
        <w:rPr>
          <w:i/>
        </w:rPr>
        <w:t>gross return – Variance/2.</w:t>
      </w:r>
    </w:p>
    <w:p w:rsidR="005936C1" w:rsidRDefault="005936C1" w:rsidP="00150782">
      <w:pPr>
        <w:pStyle w:val="BodyText"/>
      </w:pPr>
    </w:p>
    <w:p w:rsidR="005936C1" w:rsidRDefault="002A659B" w:rsidP="00150782">
      <w:pPr>
        <w:pStyle w:val="BodyText"/>
      </w:pPr>
      <w:r>
        <w:t>The quantity Variance/2</w:t>
      </w:r>
      <w:r w:rsidR="005936C1">
        <w:t xml:space="preserve"> is called “volatility drag.”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Applied to annual returns on Green, Red, and White, we obtain (with more digits shown)</w:t>
      </w:r>
    </w:p>
    <w:p w:rsidR="005936C1" w:rsidRDefault="005936C1" w:rsidP="00150782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3"/>
        <w:gridCol w:w="1265"/>
        <w:gridCol w:w="1620"/>
        <w:gridCol w:w="1800"/>
        <w:gridCol w:w="2216"/>
      </w:tblGrid>
      <w:tr w:rsidR="005936C1">
        <w:trPr>
          <w:jc w:val="center"/>
        </w:trPr>
        <w:tc>
          <w:tcPr>
            <w:tcW w:w="2263" w:type="dxa"/>
            <w:shd w:val="clear" w:color="auto" w:fill="FFFF66"/>
          </w:tcPr>
          <w:p w:rsidR="005936C1" w:rsidRDefault="005936C1" w:rsidP="00150782">
            <w:pPr>
              <w:pStyle w:val="BodyText"/>
            </w:pPr>
            <w:r>
              <w:t>Investment</w:t>
            </w:r>
          </w:p>
        </w:tc>
        <w:tc>
          <w:tcPr>
            <w:tcW w:w="1265" w:type="dxa"/>
            <w:shd w:val="clear" w:color="auto" w:fill="FFFF66"/>
          </w:tcPr>
          <w:p w:rsidR="005936C1" w:rsidRDefault="005936C1" w:rsidP="00150782">
            <w:pPr>
              <w:pStyle w:val="BodyText"/>
            </w:pPr>
            <w:r>
              <w:t>Mean</w:t>
            </w:r>
          </w:p>
        </w:tc>
        <w:tc>
          <w:tcPr>
            <w:tcW w:w="1620" w:type="dxa"/>
            <w:shd w:val="clear" w:color="auto" w:fill="FFFF66"/>
          </w:tcPr>
          <w:p w:rsidR="005936C1" w:rsidRDefault="005936C1" w:rsidP="00150782">
            <w:pPr>
              <w:pStyle w:val="BodyText"/>
            </w:pPr>
            <w:r>
              <w:t>StDev</w:t>
            </w:r>
          </w:p>
        </w:tc>
        <w:tc>
          <w:tcPr>
            <w:tcW w:w="1800" w:type="dxa"/>
            <w:shd w:val="clear" w:color="auto" w:fill="FFFF66"/>
          </w:tcPr>
          <w:p w:rsidR="005936C1" w:rsidRDefault="005936C1" w:rsidP="00150782">
            <w:pPr>
              <w:pStyle w:val="BodyText"/>
            </w:pPr>
            <w:r>
              <w:t>Var</w:t>
            </w:r>
          </w:p>
        </w:tc>
        <w:tc>
          <w:tcPr>
            <w:tcW w:w="2216" w:type="dxa"/>
            <w:shd w:val="clear" w:color="auto" w:fill="FFFF66"/>
          </w:tcPr>
          <w:p w:rsidR="005936C1" w:rsidRDefault="005936C1" w:rsidP="00150782">
            <w:pPr>
              <w:pStyle w:val="BodyText"/>
            </w:pPr>
            <w:r>
              <w:t>Mean–Var/2</w:t>
            </w:r>
          </w:p>
        </w:tc>
      </w:tr>
      <w:tr w:rsidR="005936C1">
        <w:trPr>
          <w:jc w:val="center"/>
        </w:trPr>
        <w:tc>
          <w:tcPr>
            <w:tcW w:w="2263" w:type="dxa"/>
          </w:tcPr>
          <w:p w:rsidR="005936C1" w:rsidRDefault="005936C1" w:rsidP="00150782">
            <w:pPr>
              <w:pStyle w:val="BodyText"/>
            </w:pPr>
            <w:r>
              <w:t>Green</w:t>
            </w:r>
          </w:p>
        </w:tc>
        <w:tc>
          <w:tcPr>
            <w:tcW w:w="1265" w:type="dxa"/>
          </w:tcPr>
          <w:p w:rsidR="005936C1" w:rsidRDefault="005936C1" w:rsidP="00150782">
            <w:pPr>
              <w:pStyle w:val="BodyText"/>
            </w:pPr>
            <w:r>
              <w:t>1.083</w:t>
            </w:r>
          </w:p>
        </w:tc>
        <w:tc>
          <w:tcPr>
            <w:tcW w:w="1620" w:type="dxa"/>
          </w:tcPr>
          <w:p w:rsidR="005936C1" w:rsidRDefault="005936C1" w:rsidP="00150782">
            <w:pPr>
              <w:pStyle w:val="BodyText"/>
            </w:pPr>
            <w:r>
              <w:t>.195</w:t>
            </w:r>
          </w:p>
        </w:tc>
        <w:tc>
          <w:tcPr>
            <w:tcW w:w="1800" w:type="dxa"/>
          </w:tcPr>
          <w:p w:rsidR="005936C1" w:rsidRDefault="005936C1" w:rsidP="00150782">
            <w:pPr>
              <w:pStyle w:val="BodyText"/>
            </w:pPr>
            <w:r>
              <w:t>.038</w:t>
            </w:r>
          </w:p>
        </w:tc>
        <w:tc>
          <w:tcPr>
            <w:tcW w:w="2216" w:type="dxa"/>
          </w:tcPr>
          <w:p w:rsidR="005936C1" w:rsidRDefault="005936C1" w:rsidP="00150782">
            <w:pPr>
              <w:pStyle w:val="BodyText"/>
            </w:pPr>
            <w:r>
              <w:t>1.064</w:t>
            </w:r>
          </w:p>
        </w:tc>
      </w:tr>
      <w:tr w:rsidR="005936C1">
        <w:trPr>
          <w:jc w:val="center"/>
        </w:trPr>
        <w:tc>
          <w:tcPr>
            <w:tcW w:w="2263" w:type="dxa"/>
          </w:tcPr>
          <w:p w:rsidR="005936C1" w:rsidRDefault="005936C1" w:rsidP="00150782">
            <w:pPr>
              <w:pStyle w:val="BodyText"/>
            </w:pPr>
            <w:r>
              <w:t>Red</w:t>
            </w:r>
          </w:p>
        </w:tc>
        <w:tc>
          <w:tcPr>
            <w:tcW w:w="1265" w:type="dxa"/>
          </w:tcPr>
          <w:p w:rsidR="005936C1" w:rsidRDefault="005936C1" w:rsidP="00150782">
            <w:pPr>
              <w:pStyle w:val="BodyText"/>
            </w:pPr>
            <w:r>
              <w:t>1.710</w:t>
            </w:r>
          </w:p>
        </w:tc>
        <w:tc>
          <w:tcPr>
            <w:tcW w:w="1620" w:type="dxa"/>
          </w:tcPr>
          <w:p w:rsidR="005936C1" w:rsidRDefault="005936C1" w:rsidP="00150782">
            <w:pPr>
              <w:pStyle w:val="BodyText"/>
            </w:pPr>
            <w:r>
              <w:t>1.32</w:t>
            </w:r>
          </w:p>
        </w:tc>
        <w:tc>
          <w:tcPr>
            <w:tcW w:w="1800" w:type="dxa"/>
          </w:tcPr>
          <w:p w:rsidR="005936C1" w:rsidRDefault="005936C1" w:rsidP="00150782">
            <w:pPr>
              <w:pStyle w:val="BodyText"/>
              <w:rPr>
                <w:vertAlign w:val="superscript"/>
              </w:rPr>
            </w:pPr>
            <w:r>
              <w:t>1.755</w:t>
            </w:r>
          </w:p>
        </w:tc>
        <w:tc>
          <w:tcPr>
            <w:tcW w:w="2216" w:type="dxa"/>
          </w:tcPr>
          <w:p w:rsidR="005936C1" w:rsidRDefault="005936C1" w:rsidP="00150782">
            <w:pPr>
              <w:pStyle w:val="BodyText"/>
            </w:pPr>
            <w:r>
              <w:t>0.833</w:t>
            </w:r>
          </w:p>
        </w:tc>
      </w:tr>
      <w:tr w:rsidR="005936C1">
        <w:trPr>
          <w:jc w:val="center"/>
        </w:trPr>
        <w:tc>
          <w:tcPr>
            <w:tcW w:w="2263" w:type="dxa"/>
          </w:tcPr>
          <w:p w:rsidR="005936C1" w:rsidRDefault="005936C1" w:rsidP="00150782">
            <w:pPr>
              <w:pStyle w:val="BodyText"/>
            </w:pPr>
            <w:r>
              <w:t>White</w:t>
            </w:r>
          </w:p>
        </w:tc>
        <w:tc>
          <w:tcPr>
            <w:tcW w:w="1265" w:type="dxa"/>
          </w:tcPr>
          <w:p w:rsidR="005936C1" w:rsidRDefault="005936C1" w:rsidP="00150782">
            <w:pPr>
              <w:pStyle w:val="BodyText"/>
            </w:pPr>
            <w:r w:rsidDel="00A36483">
              <w:t>1</w:t>
            </w:r>
            <w:r>
              <w:t>.008</w:t>
            </w:r>
          </w:p>
        </w:tc>
        <w:tc>
          <w:tcPr>
            <w:tcW w:w="1620" w:type="dxa"/>
          </w:tcPr>
          <w:p w:rsidR="005936C1" w:rsidRDefault="005936C1" w:rsidP="00150782">
            <w:pPr>
              <w:pStyle w:val="BodyText"/>
            </w:pPr>
            <w:r>
              <w:t>.045</w:t>
            </w:r>
          </w:p>
        </w:tc>
        <w:tc>
          <w:tcPr>
            <w:tcW w:w="1800" w:type="dxa"/>
          </w:tcPr>
          <w:p w:rsidR="005936C1" w:rsidRDefault="005936C1" w:rsidP="00150782">
            <w:pPr>
              <w:pStyle w:val="BodyText"/>
            </w:pPr>
            <w:r>
              <w:t>.002</w:t>
            </w:r>
          </w:p>
        </w:tc>
        <w:tc>
          <w:tcPr>
            <w:tcW w:w="2216" w:type="dxa"/>
          </w:tcPr>
          <w:p w:rsidR="005936C1" w:rsidRDefault="005936C1" w:rsidP="00150782">
            <w:pPr>
              <w:pStyle w:val="BodyText"/>
            </w:pPr>
            <w:r>
              <w:t>1.007</w:t>
            </w:r>
          </w:p>
        </w:tc>
      </w:tr>
    </w:tbl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It is now clear why Red is a loser!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 xml:space="preserve">But why </w:t>
      </w:r>
      <w:r w:rsidR="00745736">
        <w:t>does</w:t>
      </w:r>
      <w:r>
        <w:t xml:space="preserve"> Pink do so well?</w:t>
      </w:r>
    </w:p>
    <w:p w:rsidR="005936C1" w:rsidRPr="00D72BED" w:rsidRDefault="005936C1" w:rsidP="00150782">
      <w:pPr>
        <w:pStyle w:val="Heading1"/>
      </w:pPr>
      <w:r>
        <w:rPr>
          <w:sz w:val="40"/>
          <w:szCs w:val="40"/>
        </w:rPr>
        <w:br w:type="page"/>
      </w:r>
      <w:r w:rsidRPr="00D72BED">
        <w:t>Analyzing a Mixed Investment</w:t>
      </w:r>
    </w:p>
    <w:p w:rsidR="005936C1" w:rsidRDefault="005936C1" w:rsidP="00150782">
      <w:pPr>
        <w:pStyle w:val="BodyText"/>
      </w:pPr>
      <w:r>
        <w:t>Pink is itself a random variable with a probability distribution. Using our previous formulas, we can directly calculate</w:t>
      </w:r>
    </w:p>
    <w:p w:rsidR="005936C1" w:rsidRDefault="005936C1" w:rsidP="00150782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3"/>
        <w:gridCol w:w="1265"/>
        <w:gridCol w:w="1620"/>
        <w:gridCol w:w="1800"/>
        <w:gridCol w:w="2520"/>
      </w:tblGrid>
      <w:tr w:rsidR="005936C1">
        <w:trPr>
          <w:jc w:val="center"/>
        </w:trPr>
        <w:tc>
          <w:tcPr>
            <w:tcW w:w="2263" w:type="dxa"/>
            <w:shd w:val="clear" w:color="auto" w:fill="FFFF66"/>
          </w:tcPr>
          <w:p w:rsidR="005936C1" w:rsidRDefault="005936C1" w:rsidP="00150782">
            <w:pPr>
              <w:pStyle w:val="BodyText"/>
            </w:pPr>
            <w:r>
              <w:t>Investment</w:t>
            </w:r>
          </w:p>
        </w:tc>
        <w:tc>
          <w:tcPr>
            <w:tcW w:w="1265" w:type="dxa"/>
            <w:shd w:val="clear" w:color="auto" w:fill="FFFF66"/>
          </w:tcPr>
          <w:p w:rsidR="005936C1" w:rsidRDefault="005936C1" w:rsidP="00745736">
            <w:pPr>
              <w:pStyle w:val="BodyText"/>
              <w:jc w:val="center"/>
            </w:pPr>
            <w:r>
              <w:t>Mean</w:t>
            </w:r>
          </w:p>
        </w:tc>
        <w:tc>
          <w:tcPr>
            <w:tcW w:w="1620" w:type="dxa"/>
            <w:shd w:val="clear" w:color="auto" w:fill="FFFF66"/>
          </w:tcPr>
          <w:p w:rsidR="005936C1" w:rsidRDefault="005936C1" w:rsidP="00745736">
            <w:pPr>
              <w:pStyle w:val="BodyText"/>
              <w:jc w:val="center"/>
            </w:pPr>
            <w:r>
              <w:t>StDev</w:t>
            </w:r>
          </w:p>
        </w:tc>
        <w:tc>
          <w:tcPr>
            <w:tcW w:w="1800" w:type="dxa"/>
            <w:shd w:val="clear" w:color="auto" w:fill="FFFF66"/>
          </w:tcPr>
          <w:p w:rsidR="005936C1" w:rsidRDefault="005936C1" w:rsidP="00745736">
            <w:pPr>
              <w:pStyle w:val="BodyText"/>
              <w:jc w:val="center"/>
            </w:pPr>
            <w:r>
              <w:t>Var</w:t>
            </w:r>
          </w:p>
        </w:tc>
        <w:tc>
          <w:tcPr>
            <w:tcW w:w="2520" w:type="dxa"/>
            <w:shd w:val="clear" w:color="auto" w:fill="FFFF66"/>
          </w:tcPr>
          <w:p w:rsidR="005936C1" w:rsidRDefault="005936C1" w:rsidP="00745736">
            <w:pPr>
              <w:pStyle w:val="BodyText"/>
              <w:jc w:val="center"/>
            </w:pPr>
            <w:r>
              <w:t>Mean–Var/2</w:t>
            </w:r>
          </w:p>
        </w:tc>
      </w:tr>
      <w:tr w:rsidR="005936C1">
        <w:trPr>
          <w:jc w:val="center"/>
        </w:trPr>
        <w:tc>
          <w:tcPr>
            <w:tcW w:w="2263" w:type="dxa"/>
          </w:tcPr>
          <w:p w:rsidR="005936C1" w:rsidRDefault="005936C1" w:rsidP="00150782">
            <w:pPr>
              <w:pStyle w:val="BodyText"/>
            </w:pPr>
            <w:r>
              <w:t>Pink</w:t>
            </w:r>
          </w:p>
        </w:tc>
        <w:tc>
          <w:tcPr>
            <w:tcW w:w="1265" w:type="dxa"/>
          </w:tcPr>
          <w:p w:rsidR="005936C1" w:rsidRDefault="005936C1" w:rsidP="00745736">
            <w:pPr>
              <w:pStyle w:val="BodyText"/>
              <w:jc w:val="center"/>
            </w:pPr>
            <w:r>
              <w:t>1.359</w:t>
            </w:r>
          </w:p>
        </w:tc>
        <w:tc>
          <w:tcPr>
            <w:tcW w:w="1620" w:type="dxa"/>
          </w:tcPr>
          <w:p w:rsidR="005936C1" w:rsidRDefault="005936C1" w:rsidP="00745736">
            <w:pPr>
              <w:pStyle w:val="BodyText"/>
              <w:jc w:val="center"/>
            </w:pPr>
            <w:r>
              <w:t>0.662</w:t>
            </w:r>
          </w:p>
        </w:tc>
        <w:tc>
          <w:tcPr>
            <w:tcW w:w="1800" w:type="dxa"/>
          </w:tcPr>
          <w:p w:rsidR="005936C1" w:rsidRDefault="005936C1" w:rsidP="00745736">
            <w:pPr>
              <w:pStyle w:val="BodyText"/>
              <w:jc w:val="center"/>
            </w:pPr>
            <w:r>
              <w:t>.439</w:t>
            </w:r>
          </w:p>
        </w:tc>
        <w:tc>
          <w:tcPr>
            <w:tcW w:w="2520" w:type="dxa"/>
          </w:tcPr>
          <w:p w:rsidR="005936C1" w:rsidRDefault="005936C1" w:rsidP="00745736">
            <w:pPr>
              <w:pStyle w:val="BodyText"/>
              <w:jc w:val="center"/>
            </w:pPr>
            <w:r>
              <w:t>1.140</w:t>
            </w:r>
          </w:p>
        </w:tc>
      </w:tr>
    </w:tbl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Wow! Even though Red is a big loser and White is pretty poor, mixing the two losers yields Pink, a big winner. What’s going on?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We also could use some help to find these means and variances. Direct calculation of the mean and variance is really tedious:</w:t>
      </w:r>
    </w:p>
    <w:p w:rsidR="008518EE" w:rsidRDefault="008518EE" w:rsidP="00150782">
      <w:pPr>
        <w:pStyle w:val="BodyText"/>
      </w:pPr>
    </w:p>
    <w:p w:rsidR="005936C1" w:rsidRDefault="00495B28" w:rsidP="00B901C2">
      <w:pPr>
        <w:pStyle w:val="Times18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pt;height:70pt">
            <v:imagedata r:id="rId9" o:title=""/>
          </v:shape>
        </w:pict>
      </w:r>
    </w:p>
    <w:p w:rsidR="005936C1" w:rsidRDefault="005936C1" w:rsidP="00B901C2">
      <w:pPr>
        <w:pStyle w:val="Times18"/>
        <w:jc w:val="center"/>
      </w:pPr>
    </w:p>
    <w:p w:rsidR="005936C1" w:rsidRDefault="00495B28" w:rsidP="00B901C2">
      <w:pPr>
        <w:pStyle w:val="Times18"/>
        <w:jc w:val="center"/>
      </w:pPr>
      <w:r w:rsidRPr="005F7F20">
        <w:object w:dxaOrig="6240" w:dyaOrig="1000">
          <v:shape id="_x0000_i1026" type="#_x0000_t75" style="width:474pt;height:76pt" o:ole="">
            <v:imagedata r:id="rId10" o:title=""/>
          </v:shape>
          <o:OLEObject Type="Embed" ProgID="Equation.3" ShapeID="_x0000_i1026" DrawAspect="Content" ObjectID="_1215671200" r:id="rId11"/>
        </w:object>
      </w:r>
    </w:p>
    <w:p w:rsidR="005936C1" w:rsidRPr="00B443A8" w:rsidRDefault="005936C1" w:rsidP="00150782">
      <w:pPr>
        <w:pStyle w:val="Heading1"/>
      </w:pPr>
      <w:r w:rsidRPr="00B443A8">
        <w:t>An Easier Way to Calculate E(Pink) and Var(Pink)</w:t>
      </w:r>
    </w:p>
    <w:p w:rsidR="005936C1" w:rsidRDefault="005936C1" w:rsidP="00150782">
      <w:pPr>
        <w:pStyle w:val="BodyText"/>
      </w:pPr>
      <w:r>
        <w:t>As we will see in Module 5, we can obtain E(Pink) and Var(Pink) using the formulas</w:t>
      </w:r>
    </w:p>
    <w:p w:rsidR="005936C1" w:rsidRDefault="005936C1" w:rsidP="00150782">
      <w:pPr>
        <w:pStyle w:val="BodyText"/>
      </w:pPr>
    </w:p>
    <w:p w:rsidR="005936C1" w:rsidRDefault="005936C1" w:rsidP="00B901C2">
      <w:pPr>
        <w:pStyle w:val="Times18"/>
        <w:jc w:val="center"/>
      </w:pPr>
      <w:r w:rsidRPr="00B443A8">
        <w:rPr>
          <w:i/>
        </w:rPr>
        <w:t>E</w:t>
      </w:r>
      <w:r w:rsidR="00B443A8">
        <w:t>[Pink] = .5 E[Red] + .5 E[White]</w:t>
      </w:r>
      <w:r>
        <w:t xml:space="preserve"> = 1.359</w:t>
      </w:r>
    </w:p>
    <w:p w:rsidR="005936C1" w:rsidRDefault="005936C1" w:rsidP="00B901C2">
      <w:pPr>
        <w:pStyle w:val="Times18"/>
        <w:jc w:val="center"/>
      </w:pPr>
    </w:p>
    <w:p w:rsidR="005936C1" w:rsidRDefault="005936C1" w:rsidP="00B901C2">
      <w:pPr>
        <w:pStyle w:val="Times18"/>
        <w:jc w:val="center"/>
      </w:pPr>
      <w:r w:rsidRPr="00B443A8">
        <w:rPr>
          <w:i/>
        </w:rPr>
        <w:t>Var</w:t>
      </w:r>
      <w:r w:rsidR="00B443A8">
        <w:t>[Pink]</w:t>
      </w:r>
      <w:r>
        <w:t xml:space="preserve"> = .5</w:t>
      </w:r>
      <w:r>
        <w:rPr>
          <w:vertAlign w:val="superscript"/>
        </w:rPr>
        <w:t>2</w:t>
      </w:r>
      <w:r w:rsidR="00B443A8">
        <w:t xml:space="preserve"> Var[Red]</w:t>
      </w:r>
      <w:r>
        <w:t xml:space="preserve"> + .5</w:t>
      </w:r>
      <w:r>
        <w:rPr>
          <w:vertAlign w:val="superscript"/>
        </w:rPr>
        <w:t>2</w:t>
      </w:r>
      <w:r w:rsidR="00B443A8">
        <w:t xml:space="preserve"> Var[White]</w:t>
      </w:r>
      <w:r>
        <w:t xml:space="preserve"> = .439</w:t>
      </w:r>
    </w:p>
    <w:p w:rsidR="005936C1" w:rsidRDefault="005936C1" w:rsidP="00B901C2">
      <w:pPr>
        <w:pStyle w:val="Times18"/>
        <w:jc w:val="center"/>
      </w:pPr>
    </w:p>
    <w:p w:rsidR="00E30840" w:rsidRDefault="005936C1" w:rsidP="00150782">
      <w:pPr>
        <w:pStyle w:val="BodyText"/>
      </w:pPr>
      <w:r>
        <w:t>Note that the first formula makes perfect sense: the average of averages is itself an average.</w:t>
      </w:r>
      <w:r w:rsidRPr="00FA1181">
        <w:rPr>
          <w:rStyle w:val="FootnoteReference"/>
          <w:color w:val="000000"/>
          <w:sz w:val="28"/>
          <w:szCs w:val="28"/>
        </w:rPr>
        <w:footnoteReference w:id="4"/>
      </w:r>
      <w:r w:rsidR="00E30840">
        <w:t xml:space="preserve">  </w:t>
      </w:r>
    </w:p>
    <w:p w:rsidR="005936C1" w:rsidRDefault="00E30840" w:rsidP="00E30840">
      <w:pPr>
        <w:pStyle w:val="BodyText"/>
        <w:spacing w:before="120"/>
      </w:pPr>
      <w:r>
        <w:t>The second formula is special and only applies to variances of random variables like Red and White that do not influence each other.</w:t>
      </w:r>
    </w:p>
    <w:p w:rsidR="005936C1" w:rsidRPr="00982374" w:rsidRDefault="005936C1" w:rsidP="00150782">
      <w:pPr>
        <w:pStyle w:val="Heading1"/>
      </w:pPr>
      <w:r>
        <w:rPr>
          <w:sz w:val="40"/>
          <w:szCs w:val="40"/>
        </w:rPr>
        <w:br w:type="page"/>
      </w:r>
      <w:r w:rsidRPr="00982374">
        <w:t>Background</w:t>
      </w:r>
    </w:p>
    <w:p w:rsidR="005936C1" w:rsidRDefault="005936C1" w:rsidP="00150782">
      <w:pPr>
        <w:pStyle w:val="BodyText"/>
      </w:pPr>
      <w:r>
        <w:t xml:space="preserve">The choices of the means and variances for two of these investments come from things that you can buy. Green matches the long-run historical performance of the U.S. stock market, as reflected by the value-weighted index since 1925, </w:t>
      </w:r>
      <w:r w:rsidRPr="008B0992">
        <w:rPr>
          <w:i/>
        </w:rPr>
        <w:t>adjusted for inflation</w:t>
      </w:r>
      <w:r>
        <w:t>.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 xml:space="preserve">We calibrated White to approximate the historical performance of 30-day Treasury bills (T-bills), also </w:t>
      </w:r>
      <w:r w:rsidRPr="00D46892">
        <w:rPr>
          <w:i/>
        </w:rPr>
        <w:t>adjusted for inflation</w:t>
      </w:r>
      <w:r>
        <w:t>.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Notice how closely the means and standard deviations of Green, and White match those of the annual gross returns of the Stocks and T-bills.</w:t>
      </w:r>
    </w:p>
    <w:p w:rsidR="005936C1" w:rsidRDefault="005936C1" w:rsidP="00B901C2">
      <w:pPr>
        <w:pStyle w:val="Times18"/>
        <w:jc w:val="center"/>
      </w:pPr>
    </w:p>
    <w:p w:rsidR="005936C1" w:rsidRPr="004221D7" w:rsidRDefault="00486EA3" w:rsidP="00B901C2">
      <w:pPr>
        <w:pStyle w:val="Times18"/>
        <w:jc w:val="center"/>
      </w:pPr>
      <w:r>
        <w:rPr>
          <w:noProof/>
        </w:rPr>
        <w:drawing>
          <wp:inline distT="0" distB="0" distL="0" distR="0">
            <wp:extent cx="2641600" cy="1391920"/>
            <wp:effectExtent l="2540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We made up Red. That’s too bad!</w:t>
      </w:r>
    </w:p>
    <w:p w:rsidR="005936C1" w:rsidRDefault="005936C1" w:rsidP="00150782">
      <w:pPr>
        <w:pStyle w:val="BodyText"/>
      </w:pPr>
      <w:r>
        <w:br w:type="page"/>
        <w:t xml:space="preserve">The data for these indexes is contained in </w:t>
      </w:r>
      <w:r w:rsidRPr="008C0C56">
        <w:rPr>
          <w:i/>
        </w:rPr>
        <w:t>annual_markets.JMP</w:t>
      </w:r>
      <w:r>
        <w:t>.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The following Overlay Plot shows the performance through 2004 of these two indexes on the log scale.</w:t>
      </w:r>
    </w:p>
    <w:p w:rsidR="005936C1" w:rsidRDefault="00486EA3" w:rsidP="00DE1691">
      <w:pPr>
        <w:pStyle w:val="Times18"/>
        <w:spacing w:before="120"/>
        <w:jc w:val="center"/>
      </w:pPr>
      <w:r>
        <w:rPr>
          <w:noProof/>
        </w:rPr>
        <w:drawing>
          <wp:inline distT="0" distB="0" distL="0" distR="0">
            <wp:extent cx="5242560" cy="194056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94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C1" w:rsidRDefault="005936C1" w:rsidP="00150782">
      <w:pPr>
        <w:pStyle w:val="BodyText"/>
      </w:pPr>
      <w:r>
        <w:t>The following plot (using the same scale), shows the indexes adjusted for inflation. Note that T-bills no longer appear to be so “risk-free.”</w:t>
      </w:r>
    </w:p>
    <w:p w:rsidR="005936C1" w:rsidRPr="005300C3" w:rsidRDefault="00486EA3" w:rsidP="00DE1691">
      <w:pPr>
        <w:pStyle w:val="Times18"/>
        <w:spacing w:before="120"/>
        <w:jc w:val="center"/>
      </w:pPr>
      <w:r>
        <w:rPr>
          <w:noProof/>
        </w:rPr>
        <w:drawing>
          <wp:inline distT="0" distB="0" distL="0" distR="0">
            <wp:extent cx="5100320" cy="1767840"/>
            <wp:effectExtent l="2540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C1" w:rsidRPr="00982374" w:rsidRDefault="005936C1" w:rsidP="00150782">
      <w:pPr>
        <w:pStyle w:val="Heading1"/>
      </w:pPr>
      <w:r>
        <w:rPr>
          <w:sz w:val="40"/>
          <w:szCs w:val="40"/>
        </w:rPr>
        <w:br w:type="page"/>
      </w:r>
      <w:r w:rsidRPr="00982374">
        <w:t>Take-Away Review</w:t>
      </w:r>
    </w:p>
    <w:p w:rsidR="005936C1" w:rsidRDefault="005936C1" w:rsidP="00150782">
      <w:pPr>
        <w:pStyle w:val="BodyText"/>
      </w:pPr>
      <w:r>
        <w:t>Random variables are used to model the returns on investments in finance.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The long-term value of an investment depends upon its average rate of return and its volatility.</w:t>
      </w:r>
    </w:p>
    <w:p w:rsidR="00245203" w:rsidRDefault="005936C1" w:rsidP="00150782">
      <w:pPr>
        <w:pStyle w:val="BodyQuotation"/>
      </w:pPr>
      <w:r>
        <w:t>Volatility is another name for the variance of the return.</w:t>
      </w:r>
    </w:p>
    <w:p w:rsidR="00245203" w:rsidRDefault="005936C1" w:rsidP="00150782">
      <w:pPr>
        <w:pStyle w:val="BodyQuotation"/>
      </w:pPr>
      <w:r>
        <w:t>Variance eats away the return via the volatility drag.</w:t>
      </w:r>
    </w:p>
    <w:p w:rsidR="005936C1" w:rsidRDefault="005936C1" w:rsidP="00150782">
      <w:pPr>
        <w:pStyle w:val="BodyText"/>
      </w:pPr>
    </w:p>
    <w:p w:rsidR="005936C1" w:rsidRDefault="005936C1" w:rsidP="00150782">
      <w:pPr>
        <w:pStyle w:val="BodyText"/>
      </w:pPr>
      <w:r>
        <w:t>Mixing investments is a means to achieving better investments with higher long-term returns.</w:t>
      </w:r>
    </w:p>
    <w:p w:rsidR="00C66FAC" w:rsidRDefault="00C66FAC" w:rsidP="00150782">
      <w:pPr>
        <w:pStyle w:val="Heading1"/>
      </w:pPr>
    </w:p>
    <w:p w:rsidR="005936C1" w:rsidRPr="00982374" w:rsidRDefault="005936C1" w:rsidP="00150782">
      <w:pPr>
        <w:pStyle w:val="Heading1"/>
      </w:pPr>
      <w:r w:rsidRPr="00982374">
        <w:t>Next Module</w:t>
      </w:r>
    </w:p>
    <w:p w:rsidR="00C66FAC" w:rsidRDefault="00C66FAC" w:rsidP="00150782">
      <w:pPr>
        <w:pStyle w:val="BodyText"/>
      </w:pPr>
      <w:r>
        <w:t xml:space="preserve">One of the artificial features of our dice simulation is that we have treated the returns as independent of each other.  In the next </w:t>
      </w:r>
      <w:r w:rsidR="00C17792">
        <w:t>module</w:t>
      </w:r>
      <w:r>
        <w:t>, we will introduce the idea of statistical dependence in the context of joint probability distributions.</w:t>
      </w:r>
    </w:p>
    <w:p w:rsidR="00C66FAC" w:rsidRDefault="00C66FAC" w:rsidP="00150782">
      <w:pPr>
        <w:pStyle w:val="BodyText"/>
      </w:pPr>
    </w:p>
    <w:p w:rsidR="00C66FAC" w:rsidRDefault="00C66FAC" w:rsidP="00150782">
      <w:pPr>
        <w:pStyle w:val="BodyText"/>
      </w:pPr>
      <w:r>
        <w:t xml:space="preserve">This will set the stage for Module 5, where we consider the construction of real portfolios </w:t>
      </w:r>
      <w:r w:rsidR="00492676">
        <w:t>that</w:t>
      </w:r>
      <w:r>
        <w:t xml:space="preserve"> take such dependence</w:t>
      </w:r>
      <w:r w:rsidR="00492676" w:rsidRPr="00492676">
        <w:t xml:space="preserve"> </w:t>
      </w:r>
      <w:r w:rsidR="00492676">
        <w:t>into account</w:t>
      </w:r>
      <w:r>
        <w:t xml:space="preserve">. </w:t>
      </w:r>
    </w:p>
    <w:p w:rsidR="00C66FAC" w:rsidRDefault="00C66FAC" w:rsidP="00150782">
      <w:pPr>
        <w:pStyle w:val="BodyText"/>
      </w:pPr>
    </w:p>
    <w:p w:rsidR="00D544C1" w:rsidRPr="00FA1181" w:rsidRDefault="00C021E7" w:rsidP="00150782">
      <w:pPr>
        <w:pStyle w:val="Heading1"/>
        <w:rPr>
          <w:sz w:val="40"/>
          <w:szCs w:val="40"/>
        </w:rPr>
      </w:pPr>
      <w:r>
        <w:t xml:space="preserve">Supplement:  </w:t>
      </w:r>
      <w:r w:rsidR="00D544C1" w:rsidRPr="00C021E7">
        <w:t>Justification for the Volatility Drag Adjustment</w:t>
      </w:r>
      <w:r w:rsidR="00D544C1" w:rsidRPr="006E7BF2">
        <w:rPr>
          <w:rStyle w:val="FootnoteReference"/>
          <w:position w:val="6"/>
          <w:sz w:val="28"/>
          <w:szCs w:val="28"/>
        </w:rPr>
        <w:footnoteReference w:id="5"/>
      </w:r>
      <w:r w:rsidR="00D544C1" w:rsidRPr="006E7BF2">
        <w:rPr>
          <w:position w:val="6"/>
          <w:sz w:val="28"/>
          <w:szCs w:val="28"/>
        </w:rPr>
        <w:t xml:space="preserve"> </w:t>
      </w:r>
    </w:p>
    <w:p w:rsidR="00D544C1" w:rsidRDefault="00D544C1" w:rsidP="00150782">
      <w:pPr>
        <w:pStyle w:val="BodyText"/>
      </w:pPr>
      <w:r>
        <w:t xml:space="preserve">Suppose our wealth at time 0 is </w:t>
      </w:r>
      <w:r w:rsidRPr="009716E0">
        <w:rPr>
          <w:i/>
        </w:rPr>
        <w:t>W</w:t>
      </w:r>
      <w:r>
        <w:rPr>
          <w:vertAlign w:val="subscript"/>
        </w:rPr>
        <w:t>0</w:t>
      </w:r>
      <w:r>
        <w:t xml:space="preserve"> and the gross return from period </w:t>
      </w:r>
      <w:r w:rsidRPr="00214DC4">
        <w:rPr>
          <w:i/>
        </w:rPr>
        <w:t>t-1</w:t>
      </w:r>
      <w:r>
        <w:t xml:space="preserve"> to period </w:t>
      </w:r>
      <w:r w:rsidRPr="00214DC4">
        <w:rPr>
          <w:i/>
        </w:rPr>
        <w:t>t</w:t>
      </w:r>
      <w:r>
        <w:t xml:space="preserve"> is </w:t>
      </w:r>
      <w:r w:rsidRPr="00C92ABA">
        <w:rPr>
          <w:i/>
        </w:rPr>
        <w:t>R</w:t>
      </w:r>
      <w:r w:rsidRPr="00214DC4">
        <w:rPr>
          <w:i/>
          <w:vertAlign w:val="subscript"/>
        </w:rPr>
        <w:t>t</w:t>
      </w:r>
      <w:r>
        <w:t>.</w:t>
      </w:r>
    </w:p>
    <w:p w:rsidR="00D544C1" w:rsidRDefault="00D544C1" w:rsidP="00150782">
      <w:pPr>
        <w:pStyle w:val="BodyText"/>
      </w:pPr>
    </w:p>
    <w:p w:rsidR="00D544C1" w:rsidRDefault="00D544C1" w:rsidP="00150782">
      <w:pPr>
        <w:pStyle w:val="BodyText"/>
      </w:pPr>
      <w:r>
        <w:t xml:space="preserve">Our total gross return at the end of </w:t>
      </w:r>
      <w:r w:rsidRPr="009716E0">
        <w:rPr>
          <w:i/>
        </w:rPr>
        <w:t>T</w:t>
      </w:r>
      <w:r>
        <w:t xml:space="preserve"> periods is then  </w:t>
      </w:r>
    </w:p>
    <w:p w:rsidR="00D544C1" w:rsidRDefault="00D544C1" w:rsidP="00150782">
      <w:pPr>
        <w:pStyle w:val="BodyText"/>
      </w:pPr>
    </w:p>
    <w:p w:rsidR="00D544C1" w:rsidRDefault="00D544C1" w:rsidP="00B901C2">
      <w:pPr>
        <w:pStyle w:val="Times18"/>
        <w:jc w:val="center"/>
      </w:pPr>
      <w:r w:rsidRPr="009716E0">
        <w:rPr>
          <w:i/>
        </w:rPr>
        <w:t>W</w:t>
      </w:r>
      <w:r>
        <w:rPr>
          <w:vertAlign w:val="subscript"/>
        </w:rPr>
        <w:t>T</w:t>
      </w:r>
      <w:r>
        <w:t xml:space="preserve"> /</w:t>
      </w:r>
      <w:r w:rsidRPr="009716E0">
        <w:rPr>
          <w:i/>
        </w:rPr>
        <w:t>W</w:t>
      </w:r>
      <w:r>
        <w:rPr>
          <w:vertAlign w:val="subscript"/>
        </w:rPr>
        <w:t xml:space="preserve">0 </w:t>
      </w:r>
      <w:r>
        <w:t xml:space="preserve">= </w:t>
      </w:r>
      <w:r w:rsidRPr="009716E0">
        <w:rPr>
          <w:i/>
        </w:rPr>
        <w:t>R</w:t>
      </w:r>
      <w:r>
        <w:rPr>
          <w:vertAlign w:val="subscript"/>
        </w:rPr>
        <w:t>1</w:t>
      </w:r>
      <w:r w:rsidRPr="009716E0">
        <w:rPr>
          <w:i/>
        </w:rPr>
        <w:t>R</w:t>
      </w:r>
      <w:r>
        <w:rPr>
          <w:vertAlign w:val="subscript"/>
        </w:rPr>
        <w:t>2</w:t>
      </w:r>
      <w:r>
        <w:t xml:space="preserve"> </w:t>
      </w:r>
      <w:r>
        <w:sym w:font="Symbol" w:char="F0D7"/>
      </w:r>
      <w:r>
        <w:sym w:font="Symbol" w:char="F0D7"/>
      </w:r>
      <w:r>
        <w:sym w:font="Symbol" w:char="F0D7"/>
      </w:r>
      <w:r>
        <w:t xml:space="preserve"> </w:t>
      </w:r>
      <w:r w:rsidRPr="009716E0">
        <w:rPr>
          <w:i/>
        </w:rPr>
        <w:t>R</w:t>
      </w:r>
      <w:r w:rsidRPr="009716E0">
        <w:rPr>
          <w:i/>
          <w:vertAlign w:val="subscript"/>
        </w:rPr>
        <w:t>T</w:t>
      </w:r>
    </w:p>
    <w:p w:rsidR="00D544C1" w:rsidRDefault="00D544C1" w:rsidP="00150782">
      <w:pPr>
        <w:pStyle w:val="BodyText"/>
      </w:pPr>
    </w:p>
    <w:p w:rsidR="00A159E7" w:rsidRDefault="00D544C1" w:rsidP="00150782">
      <w:pPr>
        <w:pStyle w:val="BodyText"/>
      </w:pPr>
      <w:r>
        <w:t xml:space="preserve">The nominal annual percentage rate (APR) that achieves the same gross return when continuously compounded is the value </w:t>
      </w:r>
      <w:r w:rsidRPr="004F616E">
        <w:rPr>
          <w:i/>
        </w:rPr>
        <w:t>r</w:t>
      </w:r>
      <w:r w:rsidRPr="004F616E">
        <w:rPr>
          <w:b/>
        </w:rPr>
        <w:t xml:space="preserve"> </w:t>
      </w:r>
      <w:r>
        <w:t>that satisfies the equation:</w:t>
      </w:r>
    </w:p>
    <w:p w:rsidR="00A159E7" w:rsidRDefault="00A159E7" w:rsidP="00150782">
      <w:pPr>
        <w:pStyle w:val="BodyText"/>
      </w:pPr>
    </w:p>
    <w:p w:rsidR="00A159E7" w:rsidRDefault="00CC2D3B" w:rsidP="00B901C2">
      <w:pPr>
        <w:pStyle w:val="Times18"/>
        <w:jc w:val="center"/>
      </w:pPr>
      <w:r w:rsidRPr="00A159E7">
        <w:object w:dxaOrig="1560" w:dyaOrig="320">
          <v:shape id="_x0000_i1027" type="#_x0000_t75" style="width:112pt;height:24pt" o:ole="">
            <v:imagedata r:id="rId15" r:pict="rId16" o:title=""/>
          </v:shape>
          <o:OLEObject Type="Embed" ProgID="Equation.3" ShapeID="_x0000_i1027" DrawAspect="Content" ObjectID="_1215671201" r:id="rId17"/>
        </w:object>
      </w:r>
    </w:p>
    <w:p w:rsidR="00A159E7" w:rsidRDefault="00A159E7" w:rsidP="00150782">
      <w:pPr>
        <w:pStyle w:val="BodyText"/>
      </w:pPr>
    </w:p>
    <w:p w:rsidR="00D544C1" w:rsidRDefault="00D544C1" w:rsidP="00150782">
      <w:pPr>
        <w:pStyle w:val="BodyText"/>
      </w:pPr>
      <w:r w:rsidRPr="00B34D77">
        <w:t>If we take logarithms of</w:t>
      </w:r>
      <w:r>
        <w:t xml:space="preserve"> both sides, we can solve for </w:t>
      </w:r>
      <w:r w:rsidRPr="00D219BC">
        <w:rPr>
          <w:i/>
        </w:rPr>
        <w:t>r</w:t>
      </w:r>
      <w:r w:rsidRPr="00B34D77">
        <w:t>:</w:t>
      </w:r>
    </w:p>
    <w:p w:rsidR="00AC348B" w:rsidRDefault="00AC348B" w:rsidP="00150782">
      <w:pPr>
        <w:pStyle w:val="BodyText"/>
      </w:pPr>
    </w:p>
    <w:p w:rsidR="00D544C1" w:rsidRPr="00B34D77" w:rsidRDefault="006C6724" w:rsidP="00B901C2">
      <w:pPr>
        <w:pStyle w:val="Times18"/>
        <w:jc w:val="center"/>
      </w:pPr>
      <w:r w:rsidRPr="00CC2D3B">
        <w:object w:dxaOrig="4840" w:dyaOrig="700">
          <v:shape id="_x0000_i1028" type="#_x0000_t75" style="width:345pt;height:50pt" o:ole="">
            <v:imagedata r:id="rId18" r:pict="rId19" o:title=""/>
          </v:shape>
          <o:OLEObject Type="Embed" ProgID="Equation.3" ShapeID="_x0000_i1028" DrawAspect="Content" ObjectID="_1215671202" r:id="rId20"/>
        </w:object>
      </w:r>
    </w:p>
    <w:p w:rsidR="00D544C1" w:rsidRDefault="00D544C1" w:rsidP="00150782">
      <w:pPr>
        <w:pStyle w:val="BodyText"/>
      </w:pPr>
    </w:p>
    <w:p w:rsidR="00A0156A" w:rsidRDefault="00A042D5" w:rsidP="00150782">
      <w:pPr>
        <w:pStyle w:val="BodyText"/>
      </w:pPr>
      <w:r>
        <w:t>w</w:t>
      </w:r>
      <w:r w:rsidR="00A0156A">
        <w:t>here we have used the Taylor series approximation log</w:t>
      </w:r>
      <w:r w:rsidR="005A5E4C">
        <w:t xml:space="preserve"> </w:t>
      </w:r>
      <w:r w:rsidR="00A0156A">
        <w:t>(1+</w:t>
      </w:r>
      <w:r w:rsidR="00A0156A" w:rsidRPr="00A0156A">
        <w:rPr>
          <w:i/>
        </w:rPr>
        <w:t>x</w:t>
      </w:r>
      <w:r w:rsidR="00A0156A">
        <w:t xml:space="preserve">) </w:t>
      </w:r>
      <w:r w:rsidR="00A0156A">
        <w:sym w:font="Symbol" w:char="F0BB"/>
      </w:r>
      <w:r w:rsidR="00A0156A">
        <w:t xml:space="preserve"> </w:t>
      </w:r>
      <w:r w:rsidR="00A0156A" w:rsidRPr="00A0156A">
        <w:rPr>
          <w:i/>
        </w:rPr>
        <w:t>x</w:t>
      </w:r>
      <w:r w:rsidR="00A0156A">
        <w:t xml:space="preserve"> – </w:t>
      </w:r>
      <w:r w:rsidR="00A0156A" w:rsidRPr="00A0156A">
        <w:rPr>
          <w:i/>
        </w:rPr>
        <w:t>x</w:t>
      </w:r>
      <w:r w:rsidR="00A0156A">
        <w:rPr>
          <w:vertAlign w:val="superscript"/>
        </w:rPr>
        <w:t>2</w:t>
      </w:r>
      <w:r w:rsidR="00A0156A">
        <w:t xml:space="preserve">/2 which works well when </w:t>
      </w:r>
      <w:r w:rsidR="00A0156A" w:rsidRPr="00A0156A">
        <w:rPr>
          <w:i/>
        </w:rPr>
        <w:t>x</w:t>
      </w:r>
      <w:r w:rsidR="00A0156A">
        <w:t xml:space="preserve"> is close to zero.</w:t>
      </w:r>
    </w:p>
    <w:p w:rsidR="00FC6828" w:rsidRDefault="00FC6828" w:rsidP="00150782">
      <w:pPr>
        <w:pStyle w:val="BodyText"/>
      </w:pPr>
    </w:p>
    <w:p w:rsidR="006C6724" w:rsidRDefault="00FC6828" w:rsidP="00150782">
      <w:pPr>
        <w:pStyle w:val="BodyText"/>
      </w:pPr>
      <w:r>
        <w:t>Now a</w:t>
      </w:r>
      <w:r w:rsidR="00D544C1">
        <w:t xml:space="preserve">s the number of time points </w:t>
      </w:r>
      <w:r w:rsidR="00116025" w:rsidRPr="00116025">
        <w:rPr>
          <w:i/>
        </w:rPr>
        <w:t>T</w:t>
      </w:r>
      <w:r w:rsidR="00D544C1">
        <w:t xml:space="preserve"> increases,</w:t>
      </w:r>
    </w:p>
    <w:p w:rsidR="006C6724" w:rsidRDefault="006C6724" w:rsidP="00150782">
      <w:pPr>
        <w:pStyle w:val="BodyText"/>
      </w:pPr>
    </w:p>
    <w:p w:rsidR="00FC6828" w:rsidRDefault="006C6724" w:rsidP="00150782">
      <w:pPr>
        <w:pStyle w:val="BodyText"/>
        <w:jc w:val="center"/>
      </w:pPr>
      <w:r w:rsidRPr="00CC2D3B">
        <w:rPr>
          <w:position w:val="-28"/>
        </w:rPr>
        <w:object w:dxaOrig="1460" w:dyaOrig="700">
          <v:shape id="_x0000_i1029" type="#_x0000_t75" style="width:104pt;height:50pt" o:ole="">
            <v:imagedata r:id="rId21" r:pict="rId22" o:title=""/>
          </v:shape>
          <o:OLEObject Type="Embed" ProgID="Equation.3" ShapeID="_x0000_i1029" DrawAspect="Content" ObjectID="_1215671203" r:id="rId23"/>
        </w:object>
      </w:r>
      <w:r>
        <w:t xml:space="preserve">     and       </w:t>
      </w:r>
      <w:r w:rsidRPr="00CC2D3B">
        <w:rPr>
          <w:position w:val="-28"/>
        </w:rPr>
        <w:object w:dxaOrig="3200" w:dyaOrig="700">
          <v:shape id="_x0000_i1030" type="#_x0000_t75" style="width:228pt;height:50pt" o:ole="">
            <v:imagedata r:id="rId24" r:pict="rId25" o:title=""/>
          </v:shape>
          <o:OLEObject Type="Embed" ProgID="Equation.3" ShapeID="_x0000_i1030" DrawAspect="Content" ObjectID="_1215671204" r:id="rId26"/>
        </w:object>
      </w:r>
    </w:p>
    <w:p w:rsidR="00505AB6" w:rsidRDefault="00505AB6" w:rsidP="00150782">
      <w:pPr>
        <w:pStyle w:val="BodyText"/>
      </w:pPr>
    </w:p>
    <w:p w:rsidR="00D544C1" w:rsidRDefault="00505AB6" w:rsidP="00150782">
      <w:pPr>
        <w:pStyle w:val="BodyText"/>
      </w:pPr>
      <w:r>
        <w:t xml:space="preserve">Putting all the pieces together, we have that as </w:t>
      </w:r>
      <w:r w:rsidRPr="00505AB6">
        <w:rPr>
          <w:i/>
        </w:rPr>
        <w:t>T</w:t>
      </w:r>
      <w:r>
        <w:t xml:space="preserve"> increases, the long run net return</w:t>
      </w:r>
    </w:p>
    <w:p w:rsidR="00505AB6" w:rsidRDefault="00505AB6" w:rsidP="00150782">
      <w:pPr>
        <w:pStyle w:val="BodyText"/>
      </w:pPr>
    </w:p>
    <w:p w:rsidR="00880E79" w:rsidRDefault="00150782" w:rsidP="00880E79">
      <w:pPr>
        <w:pStyle w:val="BodyText"/>
        <w:jc w:val="center"/>
      </w:pPr>
      <w:r w:rsidRPr="00150782">
        <w:rPr>
          <w:position w:val="-14"/>
        </w:rPr>
        <w:object w:dxaOrig="2140" w:dyaOrig="420">
          <v:shape id="_x0000_i1031" type="#_x0000_t75" style="width:153pt;height:30pt" o:ole="">
            <v:imagedata r:id="rId27" r:pict="rId28" o:title=""/>
          </v:shape>
          <o:OLEObject Type="Embed" ProgID="Equation.3" ShapeID="_x0000_i1031" DrawAspect="Content" ObjectID="_1215671205" r:id="rId29"/>
        </w:object>
      </w:r>
    </w:p>
    <w:p w:rsidR="00505AB6" w:rsidRDefault="00505AB6" w:rsidP="00880E79">
      <w:pPr>
        <w:pStyle w:val="BodyText"/>
        <w:jc w:val="center"/>
      </w:pPr>
    </w:p>
    <w:p w:rsidR="00D544C1" w:rsidRDefault="00505AB6" w:rsidP="00150782">
      <w:pPr>
        <w:pStyle w:val="BodyText"/>
      </w:pPr>
      <w:r>
        <w:t>Or in te</w:t>
      </w:r>
      <w:r w:rsidR="00880E79">
        <w:t xml:space="preserve">rms of the long run gross return </w:t>
      </w:r>
      <w:r w:rsidR="00880E79" w:rsidRPr="00880E79">
        <w:rPr>
          <w:i/>
        </w:rPr>
        <w:t>R</w:t>
      </w:r>
      <w:r w:rsidR="00880E79">
        <w:t xml:space="preserve"> = (1 + </w:t>
      </w:r>
      <w:r w:rsidR="00880E79" w:rsidRPr="00880E79">
        <w:rPr>
          <w:i/>
        </w:rPr>
        <w:t>r</w:t>
      </w:r>
      <w:r w:rsidR="00880E79">
        <w:t>),</w:t>
      </w:r>
    </w:p>
    <w:p w:rsidR="00505AB6" w:rsidRDefault="00505AB6" w:rsidP="00150782">
      <w:pPr>
        <w:pStyle w:val="BodyText"/>
      </w:pPr>
    </w:p>
    <w:p w:rsidR="00351636" w:rsidRDefault="00351636" w:rsidP="00351636">
      <w:pPr>
        <w:pStyle w:val="BodyText"/>
        <w:jc w:val="center"/>
      </w:pPr>
      <w:r w:rsidRPr="00150782">
        <w:rPr>
          <w:position w:val="-14"/>
        </w:rPr>
        <w:object w:dxaOrig="2340" w:dyaOrig="420">
          <v:shape id="_x0000_i1032" type="#_x0000_t75" style="width:167pt;height:30pt" o:ole="">
            <v:imagedata r:id="rId30" r:pict="rId31" o:title=""/>
          </v:shape>
          <o:OLEObject Type="Embed" ProgID="Equation.3" ShapeID="_x0000_i1032" DrawAspect="Content" ObjectID="_1215671206" r:id="rId32"/>
        </w:object>
      </w:r>
      <w:r w:rsidR="00D1428F">
        <w:t>,</w:t>
      </w:r>
    </w:p>
    <w:p w:rsidR="00D544C1" w:rsidRDefault="00D544C1" w:rsidP="00351636">
      <w:pPr>
        <w:pStyle w:val="BodyText"/>
        <w:jc w:val="center"/>
      </w:pPr>
    </w:p>
    <w:p w:rsidR="00D544C1" w:rsidRDefault="008D349E" w:rsidP="00150782">
      <w:pPr>
        <w:pStyle w:val="BodyText"/>
      </w:pPr>
      <w:r>
        <w:t xml:space="preserve">the expected gross return </w:t>
      </w:r>
      <w:r w:rsidRPr="008D349E">
        <w:t>minus</w:t>
      </w:r>
      <w:r>
        <w:t xml:space="preserve"> the </w:t>
      </w:r>
      <w:r w:rsidRPr="008D349E">
        <w:rPr>
          <w:i/>
        </w:rPr>
        <w:t>volatility drag</w:t>
      </w:r>
      <w:r w:rsidR="00B901C2">
        <w:t xml:space="preserve">. </w:t>
      </w:r>
    </w:p>
    <w:sectPr w:rsidR="00D544C1" w:rsidSect="005936C1">
      <w:headerReference w:type="even" r:id="rId33"/>
      <w:headerReference w:type="default" r:id="rId34"/>
      <w:footerReference w:type="default" r:id="rId35"/>
      <w:headerReference w:type="first" r:id="rId36"/>
      <w:footerReference w:type="first" r:id="rId37"/>
      <w:pgSz w:w="15840" w:h="12240" w:orient="landscape"/>
      <w:pgMar w:top="1440" w:right="1440" w:bottom="1440" w:left="144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5BB" w:rsidRDefault="000A25BB">
      <w:r>
        <w:separator/>
      </w:r>
    </w:p>
  </w:endnote>
  <w:endnote w:type="continuationSeparator" w:id="0">
    <w:p w:rsidR="000A25BB" w:rsidRDefault="000A25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AB6" w:rsidRDefault="00505AB6">
    <w:pPr>
      <w:pStyle w:val="Footer"/>
      <w:rPr>
        <w:rStyle w:val="PageNumber"/>
      </w:rPr>
    </w:pPr>
    <w:r>
      <w:rPr>
        <w:rStyle w:val="CopyrightChar"/>
        <w:sz w:val="20"/>
      </w:rPr>
      <w:t>The Wharton School of the U</w:t>
    </w:r>
    <w:r w:rsidR="00E30840">
      <w:rPr>
        <w:rStyle w:val="CopyrightChar"/>
        <w:sz w:val="20"/>
      </w:rPr>
      <w:t>niversity of Pennsylvania</w:t>
    </w:r>
    <w:r w:rsidR="00E30840">
      <w:rPr>
        <w:rStyle w:val="CopyrightChar"/>
        <w:sz w:val="20"/>
      </w:rPr>
      <w:tab/>
    </w:r>
    <w:r w:rsidR="00E30840">
      <w:rPr>
        <w:rStyle w:val="CopyrightChar"/>
        <w:sz w:val="20"/>
      </w:rPr>
      <w:tab/>
    </w:r>
    <w:r w:rsidR="00E30840">
      <w:rPr>
        <w:rStyle w:val="CopyrightChar"/>
        <w:sz w:val="20"/>
      </w:rPr>
      <w:tab/>
    </w:r>
    <w:r w:rsidR="00E30840" w:rsidRPr="00E30840">
      <w:rPr>
        <w:rStyle w:val="CopyrightChar"/>
        <w:sz w:val="20"/>
      </w:rPr>
      <w:tab/>
    </w:r>
    <w:r w:rsidR="00E30840" w:rsidRPr="00E30840">
      <w:rPr>
        <w:rStyle w:val="CopyrightChar"/>
        <w:sz w:val="20"/>
      </w:rPr>
      <w:tab/>
    </w:r>
    <w:r w:rsidR="00E30840" w:rsidRPr="00E30840">
      <w:rPr>
        <w:rStyle w:val="CopyrightChar"/>
        <w:sz w:val="20"/>
      </w:rPr>
      <w:tab/>
      <w:t>3</w:t>
    </w:r>
    <w:r w:rsidRPr="00E30840">
      <w:rPr>
        <w:rStyle w:val="CopyrightChar"/>
        <w:sz w:val="20"/>
      </w:rPr>
      <w:t>-</w:t>
    </w:r>
    <w:r w:rsidR="00EF3904" w:rsidRPr="00E30840">
      <w:rPr>
        <w:rStyle w:val="PageNumber"/>
        <w:rFonts w:ascii="Arial Black" w:hAnsi="Arial Black"/>
        <w:sz w:val="20"/>
      </w:rPr>
      <w:fldChar w:fldCharType="begin"/>
    </w:r>
    <w:r w:rsidRPr="00E30840">
      <w:rPr>
        <w:rStyle w:val="PageNumber"/>
        <w:sz w:val="20"/>
      </w:rPr>
      <w:instrText xml:space="preserve"> PAGE </w:instrText>
    </w:r>
    <w:r w:rsidR="00EF3904" w:rsidRPr="00E30840">
      <w:rPr>
        <w:rStyle w:val="PageNumber"/>
        <w:rFonts w:ascii="Arial Black" w:hAnsi="Arial Black"/>
        <w:sz w:val="20"/>
      </w:rPr>
      <w:fldChar w:fldCharType="separate"/>
    </w:r>
    <w:r w:rsidR="00495B28">
      <w:rPr>
        <w:rStyle w:val="PageNumber"/>
        <w:noProof/>
        <w:sz w:val="20"/>
      </w:rPr>
      <w:t>13</w:t>
    </w:r>
    <w:r w:rsidR="00EF3904" w:rsidRPr="00E30840">
      <w:rPr>
        <w:rStyle w:val="PageNumber"/>
        <w:rFonts w:ascii="Arial Black" w:hAnsi="Arial Black"/>
        <w:sz w:val="20"/>
      </w:rPr>
      <w:fldChar w:fldCharType="end"/>
    </w:r>
  </w:p>
  <w:p w:rsidR="00505AB6" w:rsidRDefault="00505AB6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AB6" w:rsidRDefault="00505AB6">
    <w:pPr>
      <w:spacing w:line="260" w:lineRule="exact"/>
      <w:rPr>
        <w:sz w:val="18"/>
        <w:szCs w:val="18"/>
      </w:rPr>
    </w:pPr>
  </w:p>
  <w:p w:rsidR="00505AB6" w:rsidRDefault="00EF3904">
    <w:pPr>
      <w:spacing w:line="260" w:lineRule="exact"/>
      <w:rPr>
        <w:i/>
        <w:sz w:val="18"/>
        <w:szCs w:val="18"/>
      </w:rPr>
    </w:pPr>
    <w:r>
      <w:rPr>
        <w:i/>
        <w:noProof/>
        <w:sz w:val="18"/>
        <w:szCs w:val="18"/>
      </w:rPr>
      <w:pict>
        <v:line id="_x0000_s2061" style="position:absolute;z-index:251658240" from="0,10.35pt" to="468pt,10.35pt"/>
      </w:pict>
    </w:r>
  </w:p>
  <w:p w:rsidR="00505AB6" w:rsidRDefault="00505AB6">
    <w:pPr>
      <w:pStyle w:val="Footer"/>
      <w:spacing w:line="260" w:lineRule="exact"/>
      <w:rPr>
        <w:sz w:val="18"/>
        <w:szCs w:val="18"/>
      </w:rPr>
    </w:pPr>
  </w:p>
  <w:p w:rsidR="00505AB6" w:rsidRDefault="00505AB6">
    <w:pPr>
      <w:pStyle w:val="Footer"/>
      <w:spacing w:line="260" w:lineRule="exact"/>
      <w:rPr>
        <w:sz w:val="18"/>
        <w:szCs w:val="18"/>
      </w:rPr>
    </w:pPr>
    <w:r>
      <w:rPr>
        <w:sz w:val="18"/>
        <w:szCs w:val="18"/>
      </w:rPr>
      <w:t>Professors Ed George, Abba Krieger, Robert Stine, and Adi Wyner, The Wharton School of the University of Pennsylvania, prepared this document.</w:t>
    </w:r>
  </w:p>
  <w:p w:rsidR="00505AB6" w:rsidRDefault="00505AB6" w:rsidP="005936C1"/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5BB" w:rsidRDefault="000A25BB">
      <w:r>
        <w:separator/>
      </w:r>
    </w:p>
  </w:footnote>
  <w:footnote w:type="continuationSeparator" w:id="0">
    <w:p w:rsidR="000A25BB" w:rsidRDefault="000A25BB">
      <w:r>
        <w:continuationSeparator/>
      </w:r>
    </w:p>
  </w:footnote>
  <w:footnote w:id="1">
    <w:p w:rsidR="00505AB6" w:rsidRPr="00667DE0" w:rsidRDefault="00505AB6" w:rsidP="00150782">
      <w:pPr>
        <w:pStyle w:val="FootnoteText"/>
      </w:pPr>
      <w:r w:rsidRPr="00667DE0">
        <w:rPr>
          <w:rStyle w:val="FootnoteReference"/>
          <w:sz w:val="28"/>
          <w:szCs w:val="28"/>
        </w:rPr>
        <w:footnoteRef/>
      </w:r>
      <w:r w:rsidRPr="00667DE0">
        <w:t xml:space="preserve"> The value of an asset at the end of a year is the product of the gross return and the v</w:t>
      </w:r>
      <w:r>
        <w:t xml:space="preserve">alue at the start of the year. </w:t>
      </w:r>
      <w:r w:rsidRPr="00667DE0">
        <w:t xml:space="preserve">If you start with </w:t>
      </w:r>
      <w:r w:rsidRPr="00667DE0">
        <w:rPr>
          <w:i/>
        </w:rPr>
        <w:t>S</w:t>
      </w:r>
      <w:r w:rsidRPr="00667DE0">
        <w:t xml:space="preserve"> dollars and finish with </w:t>
      </w:r>
      <w:r w:rsidRPr="00667DE0">
        <w:rPr>
          <w:i/>
        </w:rPr>
        <w:t>F</w:t>
      </w:r>
      <w:r w:rsidRPr="00667DE0">
        <w:t xml:space="preserve"> dollars, then the gross return is </w:t>
      </w:r>
      <w:r w:rsidRPr="005C7A0E">
        <w:rPr>
          <w:i/>
        </w:rPr>
        <w:t>R</w:t>
      </w:r>
      <w:r w:rsidRPr="00667DE0">
        <w:t xml:space="preserve"> =</w:t>
      </w:r>
      <w:r w:rsidRPr="00667DE0">
        <w:rPr>
          <w:i/>
        </w:rPr>
        <w:t>F</w:t>
      </w:r>
      <w:r w:rsidRPr="00667DE0">
        <w:t>/</w:t>
      </w:r>
      <w:r w:rsidRPr="00667DE0">
        <w:rPr>
          <w:i/>
        </w:rPr>
        <w:t>S.</w:t>
      </w:r>
      <w:r>
        <w:t xml:space="preserve"> </w:t>
      </w:r>
      <w:r w:rsidRPr="00667DE0">
        <w:t xml:space="preserve">We denote gross returns by “big R” to distinguish </w:t>
      </w:r>
      <w:r>
        <w:t>them from “little r” returns (p.</w:t>
      </w:r>
      <w:r w:rsidRPr="00667DE0">
        <w:t xml:space="preserve"> </w:t>
      </w:r>
      <w:r w:rsidR="00E30840">
        <w:t>1-17)</w:t>
      </w:r>
      <w:r w:rsidRPr="00667DE0">
        <w:t>. These types of r</w:t>
      </w:r>
      <w:r>
        <w:t xml:space="preserve">eturns are related by </w:t>
      </w:r>
      <w:r w:rsidRPr="005C7A0E">
        <w:rPr>
          <w:i/>
        </w:rPr>
        <w:t>R</w:t>
      </w:r>
      <w:r>
        <w:t xml:space="preserve"> = (1+ r</w:t>
      </w:r>
      <w:r w:rsidRPr="00667DE0">
        <w:t>)</w:t>
      </w:r>
      <w:r>
        <w:t xml:space="preserve">. </w:t>
      </w:r>
      <w:r w:rsidRPr="00667DE0">
        <w:t>“Little r” returns, sometimes called net returns, become percent changes when multiplied by 100.</w:t>
      </w:r>
    </w:p>
  </w:footnote>
  <w:footnote w:id="2">
    <w:p w:rsidR="00505AB6" w:rsidRPr="00667DE0" w:rsidRDefault="00505AB6" w:rsidP="00150782">
      <w:pPr>
        <w:pStyle w:val="FootnoteText"/>
      </w:pPr>
      <w:r w:rsidRPr="00667DE0">
        <w:rPr>
          <w:rStyle w:val="FootnoteReference"/>
          <w:sz w:val="28"/>
          <w:szCs w:val="28"/>
        </w:rPr>
        <w:footnoteRef/>
      </w:r>
      <w:r w:rsidRPr="00667DE0">
        <w:t xml:space="preserve"> For example, to find the expected return on Green, we computed E[Green] = (1/6)0.8 + (1/6)0.9 + (2/6)1.1 + (1/6)1.2 + (1/6)1.4 = 1</w:t>
      </w:r>
      <w:r>
        <w:t xml:space="preserve">.083 as shown in this summary. </w:t>
      </w:r>
      <w:r w:rsidRPr="00667DE0">
        <w:t>Similar calculations p</w:t>
      </w:r>
      <w:r>
        <w:t>roduce the standard deviations.</w:t>
      </w:r>
    </w:p>
  </w:footnote>
  <w:footnote w:id="3">
    <w:p w:rsidR="00505AB6" w:rsidRPr="0084079C" w:rsidRDefault="00505AB6" w:rsidP="00150782">
      <w:pPr>
        <w:pStyle w:val="FootnoteText"/>
      </w:pPr>
      <w:r w:rsidRPr="0084079C">
        <w:rPr>
          <w:rStyle w:val="FootnoteReference"/>
          <w:sz w:val="28"/>
          <w:szCs w:val="28"/>
        </w:rPr>
        <w:footnoteRef/>
      </w:r>
      <w:r w:rsidRPr="0084079C">
        <w:t xml:space="preserve"> To recalculate these, click the Apply button in the Formula Editor Window for each die column.</w:t>
      </w:r>
    </w:p>
  </w:footnote>
  <w:footnote w:id="4">
    <w:p w:rsidR="00505AB6" w:rsidRDefault="00505AB6" w:rsidP="00150782">
      <w:pPr>
        <w:pStyle w:val="FootnoteText"/>
      </w:pPr>
      <w:r w:rsidRPr="00FA1181">
        <w:rPr>
          <w:rStyle w:val="FootnoteReference"/>
          <w:sz w:val="28"/>
          <w:szCs w:val="28"/>
        </w:rPr>
        <w:footnoteRef/>
      </w:r>
      <w:r w:rsidRPr="00FA1181">
        <w:t xml:space="preserve"> OK, we agree, the</w:t>
      </w:r>
      <w:r>
        <w:t xml:space="preserve"> second one is not so obvious</w:t>
      </w:r>
      <w:r w:rsidR="00745736">
        <w:t xml:space="preserve"> and requires an assumption about the relationship between the random variables</w:t>
      </w:r>
      <w:r>
        <w:t xml:space="preserve">. </w:t>
      </w:r>
      <w:r w:rsidRPr="00FA1181">
        <w:t>We’ll save it for Module 5.</w:t>
      </w:r>
    </w:p>
  </w:footnote>
  <w:footnote w:id="5">
    <w:p w:rsidR="00505AB6" w:rsidRPr="006E7BF2" w:rsidRDefault="00505AB6" w:rsidP="00150782">
      <w:pPr>
        <w:pStyle w:val="FootnoteText"/>
      </w:pPr>
      <w:r w:rsidRPr="006E7BF2">
        <w:rPr>
          <w:rStyle w:val="FootnoteReference"/>
          <w:sz w:val="28"/>
          <w:szCs w:val="28"/>
        </w:rPr>
        <w:footnoteRef/>
      </w:r>
      <w:r w:rsidRPr="006E7BF2">
        <w:t xml:space="preserve"> If you would like to know.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AB6" w:rsidRDefault="00EF3904">
    <w:pPr>
      <w:framePr w:wrap="around" w:vAnchor="text" w:hAnchor="margin" w:xAlign="right" w:y="1"/>
    </w:pPr>
    <w:r>
      <w:fldChar w:fldCharType="begin"/>
    </w:r>
    <w:r w:rsidR="00505AB6">
      <w:instrText xml:space="preserve">PAGE  </w:instrText>
    </w:r>
    <w:r>
      <w:fldChar w:fldCharType="end"/>
    </w:r>
  </w:p>
  <w:p w:rsidR="00505AB6" w:rsidRDefault="00505AB6">
    <w:pPr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AB6" w:rsidRDefault="00E30840" w:rsidP="005936C1">
    <w:pPr>
      <w:rPr>
        <w:lang w:val="fr-FR"/>
      </w:rPr>
    </w:pPr>
    <w:r>
      <w:rPr>
        <w:lang w:val="fr-FR"/>
      </w:rPr>
      <w:t>Module 3</w:t>
    </w:r>
    <w:r w:rsidR="00505AB6">
      <w:rPr>
        <w:lang w:val="fr-FR"/>
      </w:rPr>
      <w:t>: Variance and th</w:t>
    </w:r>
    <w:r w:rsidR="00576CD7">
      <w:rPr>
        <w:lang w:val="fr-FR"/>
      </w:rPr>
      <w:t>e Volatility of Investments</w:t>
    </w:r>
    <w:r w:rsidR="00576CD7">
      <w:rPr>
        <w:lang w:val="fr-FR"/>
      </w:rPr>
      <w:tab/>
    </w:r>
    <w:r w:rsidR="00576CD7">
      <w:rPr>
        <w:lang w:val="fr-FR"/>
      </w:rPr>
      <w:tab/>
    </w:r>
    <w:r w:rsidR="00505AB6">
      <w:rPr>
        <w:lang w:val="fr-FR"/>
      </w:rPr>
      <w:tab/>
    </w:r>
    <w:r w:rsidR="00505AB6">
      <w:rPr>
        <w:lang w:val="fr-FR"/>
      </w:rPr>
      <w:tab/>
    </w:r>
    <w:r w:rsidR="00505AB6">
      <w:rPr>
        <w:lang w:val="fr-FR"/>
      </w:rPr>
      <w:tab/>
    </w:r>
    <w:r w:rsidR="00505AB6">
      <w:rPr>
        <w:lang w:val="fr-FR"/>
      </w:rPr>
      <w:tab/>
    </w:r>
    <w:r w:rsidR="00576CD7">
      <w:rPr>
        <w:lang w:val="fr-FR"/>
      </w:rPr>
      <w:tab/>
    </w:r>
    <w:r w:rsidR="00505AB6">
      <w:rPr>
        <w:lang w:val="fr-FR"/>
      </w:rPr>
      <w:t>Statistics 603, August 20</w:t>
    </w:r>
    <w:r w:rsidR="008C293A">
      <w:rPr>
        <w:lang w:val="fr-FR"/>
      </w:rPr>
      <w:t>10</w:t>
    </w:r>
  </w:p>
  <w:p w:rsidR="00505AB6" w:rsidRPr="005A16C8" w:rsidRDefault="00505AB6">
    <w:pPr>
      <w:rPr>
        <w:lang w:val="fr-FR"/>
      </w:rPr>
    </w:pPr>
    <w:r>
      <w:rPr>
        <w:lang w:val="fr-FR"/>
      </w:rPr>
      <w:t xml:space="preserve">   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ook w:val="0000"/>
    </w:tblPr>
    <w:tblGrid>
      <w:gridCol w:w="1648"/>
      <w:gridCol w:w="7910"/>
    </w:tblGrid>
    <w:tr w:rsidR="00505AB6">
      <w:tc>
        <w:tcPr>
          <w:tcW w:w="1648" w:type="dxa"/>
          <w:vAlign w:val="center"/>
        </w:tcPr>
        <w:p w:rsidR="00505AB6" w:rsidRDefault="00505AB6"/>
      </w:tc>
      <w:tc>
        <w:tcPr>
          <w:tcW w:w="7910" w:type="dxa"/>
          <w:vAlign w:val="center"/>
        </w:tcPr>
        <w:p w:rsidR="00505AB6" w:rsidRDefault="00505AB6">
          <w:pPr>
            <w:jc w:val="both"/>
            <w:rPr>
              <w:sz w:val="28"/>
            </w:rPr>
          </w:pPr>
        </w:p>
      </w:tc>
    </w:tr>
    <w:tr w:rsidR="00505AB6">
      <w:tc>
        <w:tcPr>
          <w:tcW w:w="9558" w:type="dxa"/>
          <w:gridSpan w:val="2"/>
          <w:vAlign w:val="center"/>
        </w:tcPr>
        <w:p w:rsidR="00505AB6" w:rsidRDefault="00505AB6" w:rsidP="00150782">
          <w:pPr>
            <w:pStyle w:val="Heading2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26670</wp:posOffset>
                </wp:positionV>
                <wp:extent cx="2082800" cy="518160"/>
                <wp:effectExtent l="25400" t="0" r="0" b="0"/>
                <wp:wrapNone/>
                <wp:docPr id="5" name="Picture 2" descr="LT_red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T_red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280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505AB6" w:rsidRDefault="00505AB6"/>
  <w:p w:rsidR="00505AB6" w:rsidRDefault="00505AB6">
    <w:pPr>
      <w:jc w:val="right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B344F"/>
    <w:multiLevelType w:val="hybridMultilevel"/>
    <w:tmpl w:val="EEA2835C"/>
    <w:lvl w:ilvl="0" w:tplc="D0F279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F4325D"/>
    <w:multiLevelType w:val="multilevel"/>
    <w:tmpl w:val="61209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60E11DE"/>
    <w:multiLevelType w:val="hybridMultilevel"/>
    <w:tmpl w:val="F69E8D2E"/>
    <w:lvl w:ilvl="0" w:tplc="FFFFFFFF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195308"/>
    <w:multiLevelType w:val="hybridMultilevel"/>
    <w:tmpl w:val="A3A20720"/>
    <w:lvl w:ilvl="0" w:tplc="D87EE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691101F"/>
    <w:multiLevelType w:val="hybridMultilevel"/>
    <w:tmpl w:val="A6A214B0"/>
    <w:lvl w:ilvl="0" w:tplc="3786646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B61F5"/>
    <w:rsid w:val="00000F24"/>
    <w:rsid w:val="000123F5"/>
    <w:rsid w:val="000A25BB"/>
    <w:rsid w:val="00116025"/>
    <w:rsid w:val="00150782"/>
    <w:rsid w:val="00173789"/>
    <w:rsid w:val="00245203"/>
    <w:rsid w:val="002A659B"/>
    <w:rsid w:val="002B0825"/>
    <w:rsid w:val="002B61F5"/>
    <w:rsid w:val="00300958"/>
    <w:rsid w:val="00330B15"/>
    <w:rsid w:val="00351636"/>
    <w:rsid w:val="003D22D8"/>
    <w:rsid w:val="003E0510"/>
    <w:rsid w:val="003E22B7"/>
    <w:rsid w:val="00422D24"/>
    <w:rsid w:val="004458D4"/>
    <w:rsid w:val="00486EA3"/>
    <w:rsid w:val="00492676"/>
    <w:rsid w:val="00495B28"/>
    <w:rsid w:val="004F0793"/>
    <w:rsid w:val="00505AB6"/>
    <w:rsid w:val="00527161"/>
    <w:rsid w:val="00576CD7"/>
    <w:rsid w:val="005936C1"/>
    <w:rsid w:val="005A5E4C"/>
    <w:rsid w:val="005C7A0E"/>
    <w:rsid w:val="00662B93"/>
    <w:rsid w:val="006A5970"/>
    <w:rsid w:val="006B6EA7"/>
    <w:rsid w:val="006C6724"/>
    <w:rsid w:val="006F7A60"/>
    <w:rsid w:val="00731989"/>
    <w:rsid w:val="00745736"/>
    <w:rsid w:val="007E0B31"/>
    <w:rsid w:val="008518EE"/>
    <w:rsid w:val="00855A7D"/>
    <w:rsid w:val="00872BAF"/>
    <w:rsid w:val="00880E79"/>
    <w:rsid w:val="00885D1C"/>
    <w:rsid w:val="008C293A"/>
    <w:rsid w:val="008D349E"/>
    <w:rsid w:val="00920790"/>
    <w:rsid w:val="009308F0"/>
    <w:rsid w:val="009660CD"/>
    <w:rsid w:val="009716E0"/>
    <w:rsid w:val="00982374"/>
    <w:rsid w:val="00984BA1"/>
    <w:rsid w:val="009B645C"/>
    <w:rsid w:val="009E2D5C"/>
    <w:rsid w:val="00A0156A"/>
    <w:rsid w:val="00A042D5"/>
    <w:rsid w:val="00A14ECA"/>
    <w:rsid w:val="00A159E7"/>
    <w:rsid w:val="00A36A97"/>
    <w:rsid w:val="00A557DA"/>
    <w:rsid w:val="00AA7DF2"/>
    <w:rsid w:val="00AC348B"/>
    <w:rsid w:val="00AF0228"/>
    <w:rsid w:val="00B145A5"/>
    <w:rsid w:val="00B23DB1"/>
    <w:rsid w:val="00B443A8"/>
    <w:rsid w:val="00B901C2"/>
    <w:rsid w:val="00BA40F7"/>
    <w:rsid w:val="00BB23C0"/>
    <w:rsid w:val="00C021E7"/>
    <w:rsid w:val="00C17792"/>
    <w:rsid w:val="00C66FAC"/>
    <w:rsid w:val="00C92ABA"/>
    <w:rsid w:val="00C94D75"/>
    <w:rsid w:val="00CB6F7F"/>
    <w:rsid w:val="00CB745C"/>
    <w:rsid w:val="00CC2D3B"/>
    <w:rsid w:val="00CE5DE4"/>
    <w:rsid w:val="00D1428F"/>
    <w:rsid w:val="00D544C1"/>
    <w:rsid w:val="00D72BED"/>
    <w:rsid w:val="00DC10EB"/>
    <w:rsid w:val="00DD57E2"/>
    <w:rsid w:val="00DE1691"/>
    <w:rsid w:val="00E30840"/>
    <w:rsid w:val="00EF3904"/>
    <w:rsid w:val="00FA13D4"/>
    <w:rsid w:val="00FC6828"/>
  </w:rsids>
  <m:mathPr>
    <m:mathFont m:val="Arial Rounded MT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aliases w:val=" do not use"/>
    <w:qFormat/>
    <w:rsid w:val="009308F0"/>
  </w:style>
  <w:style w:type="paragraph" w:styleId="Heading1">
    <w:name w:val="heading 1"/>
    <w:basedOn w:val="BodyText"/>
    <w:next w:val="BodyText"/>
    <w:qFormat/>
    <w:rsid w:val="009308F0"/>
    <w:pPr>
      <w:keepNext/>
      <w:spacing w:before="240" w:after="240"/>
      <w:outlineLvl w:val="0"/>
    </w:pPr>
    <w:rPr>
      <w:rFonts w:ascii="Times" w:hAnsi="Times"/>
      <w:b/>
      <w:bCs/>
      <w:smallCaps/>
      <w:sz w:val="32"/>
    </w:rPr>
  </w:style>
  <w:style w:type="paragraph" w:styleId="Heading2">
    <w:name w:val="heading 2"/>
    <w:basedOn w:val="BodyText"/>
    <w:next w:val="BodyText"/>
    <w:qFormat/>
    <w:rsid w:val="009308F0"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qFormat/>
    <w:rsid w:val="009308F0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308F0"/>
    <w:pPr>
      <w:keepNext/>
      <w:outlineLvl w:val="3"/>
    </w:pPr>
    <w:rPr>
      <w:i/>
    </w:rPr>
  </w:style>
  <w:style w:type="paragraph" w:styleId="Heading5">
    <w:name w:val="heading 5"/>
    <w:aliases w:val=" do not use"/>
    <w:basedOn w:val="Normal"/>
    <w:next w:val="Normal"/>
    <w:qFormat/>
    <w:rsid w:val="009308F0"/>
    <w:pPr>
      <w:keepNext/>
      <w:outlineLvl w:val="4"/>
    </w:pPr>
    <w:rPr>
      <w:i/>
      <w:iCs/>
    </w:rPr>
  </w:style>
  <w:style w:type="paragraph" w:styleId="Heading6">
    <w:name w:val="heading 6"/>
    <w:aliases w:val=" do not use"/>
    <w:basedOn w:val="Normal"/>
    <w:next w:val="Normal"/>
    <w:qFormat/>
    <w:rsid w:val="009308F0"/>
    <w:pPr>
      <w:keepNext/>
      <w:outlineLvl w:val="5"/>
    </w:pPr>
    <w:rPr>
      <w:b/>
      <w:bCs/>
      <w:i/>
    </w:rPr>
  </w:style>
  <w:style w:type="paragraph" w:styleId="Heading7">
    <w:name w:val="heading 7"/>
    <w:aliases w:val=" do not use"/>
    <w:basedOn w:val="Normal"/>
    <w:next w:val="Normal"/>
    <w:qFormat/>
    <w:rsid w:val="009308F0"/>
    <w:pPr>
      <w:keepNext/>
      <w:tabs>
        <w:tab w:val="left" w:pos="0"/>
        <w:tab w:val="left" w:pos="720"/>
        <w:tab w:val="left" w:pos="8460"/>
      </w:tabs>
      <w:outlineLvl w:val="6"/>
    </w:pPr>
    <w:rPr>
      <w:rFonts w:ascii="Arial" w:hAnsi="Arial"/>
      <w:b/>
      <w:snapToGrid w:val="0"/>
    </w:rPr>
  </w:style>
  <w:style w:type="paragraph" w:styleId="Heading8">
    <w:name w:val="heading 8"/>
    <w:basedOn w:val="Normal"/>
    <w:next w:val="Normal"/>
    <w:qFormat/>
    <w:rsid w:val="00667DE0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semiHidden/>
    <w:rsid w:val="009308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F34"/>
    <w:rPr>
      <w:rFonts w:ascii="Lucida Grande" w:hAnsi="Lucida Grande"/>
      <w:sz w:val="18"/>
      <w:szCs w:val="18"/>
    </w:rPr>
  </w:style>
  <w:style w:type="paragraph" w:styleId="FootnoteText">
    <w:name w:val="footnote text"/>
    <w:basedOn w:val="BodyText"/>
    <w:link w:val="FootnoteTextChar"/>
    <w:semiHidden/>
    <w:rsid w:val="009308F0"/>
    <w:rPr>
      <w:sz w:val="20"/>
    </w:rPr>
  </w:style>
  <w:style w:type="paragraph" w:styleId="BodyText2">
    <w:name w:val="Body Text 2"/>
    <w:basedOn w:val="Normal"/>
    <w:rsid w:val="00883687"/>
    <w:pPr>
      <w:spacing w:after="120" w:line="480" w:lineRule="auto"/>
    </w:pPr>
  </w:style>
  <w:style w:type="paragraph" w:customStyle="1" w:styleId="OpeningQuotation">
    <w:name w:val="Opening Quotation"/>
    <w:basedOn w:val="BodyText"/>
    <w:next w:val="OpeningQuotationCitation"/>
    <w:rsid w:val="009308F0"/>
    <w:pPr>
      <w:ind w:left="720" w:right="720"/>
    </w:pPr>
    <w:rPr>
      <w:i/>
      <w:sz w:val="20"/>
    </w:rPr>
  </w:style>
  <w:style w:type="paragraph" w:styleId="BodyText">
    <w:name w:val="Body Text"/>
    <w:basedOn w:val="Normal"/>
    <w:link w:val="BodyTextChar"/>
    <w:autoRedefine/>
    <w:rsid w:val="00150782"/>
    <w:rPr>
      <w:sz w:val="36"/>
      <w:szCs w:val="36"/>
    </w:rPr>
  </w:style>
  <w:style w:type="paragraph" w:customStyle="1" w:styleId="OpeningQuotationCitation">
    <w:name w:val="Opening Quotation Citation"/>
    <w:next w:val="BodyText"/>
    <w:rsid w:val="009308F0"/>
    <w:pPr>
      <w:spacing w:after="120"/>
      <w:ind w:left="1440" w:right="720"/>
      <w:jc w:val="both"/>
    </w:pPr>
    <w:rPr>
      <w:szCs w:val="16"/>
    </w:rPr>
  </w:style>
  <w:style w:type="paragraph" w:styleId="Footer">
    <w:name w:val="footer"/>
    <w:basedOn w:val="Normal"/>
    <w:autoRedefine/>
    <w:rsid w:val="009308F0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9308F0"/>
    <w:rPr>
      <w:rFonts w:ascii="Times New Roman" w:hAnsi="Times New Roman"/>
      <w:dstrike w:val="0"/>
      <w:sz w:val="24"/>
      <w:vertAlign w:val="superscript"/>
    </w:rPr>
  </w:style>
  <w:style w:type="character" w:styleId="Hyperlink">
    <w:name w:val="Hyperlink"/>
    <w:basedOn w:val="DefaultParagraphFont"/>
    <w:rsid w:val="009308F0"/>
    <w:rPr>
      <w:color w:val="0000FF"/>
      <w:u w:val="single"/>
    </w:rPr>
  </w:style>
  <w:style w:type="paragraph" w:customStyle="1" w:styleId="BodyQuotation">
    <w:name w:val="Body Quotation"/>
    <w:basedOn w:val="BodyText"/>
    <w:next w:val="BodyText"/>
    <w:rsid w:val="009308F0"/>
    <w:pPr>
      <w:ind w:left="720" w:right="720"/>
    </w:pPr>
  </w:style>
  <w:style w:type="paragraph" w:customStyle="1" w:styleId="ExhibitTitle">
    <w:name w:val="Exhibit Title"/>
    <w:next w:val="BodyText"/>
    <w:rsid w:val="009308F0"/>
    <w:pPr>
      <w:jc w:val="center"/>
    </w:pPr>
    <w:rPr>
      <w:b/>
    </w:rPr>
  </w:style>
  <w:style w:type="paragraph" w:customStyle="1" w:styleId="ExhibitCitation">
    <w:name w:val="Exhibit Citation"/>
    <w:next w:val="BodyText"/>
    <w:rsid w:val="009308F0"/>
  </w:style>
  <w:style w:type="character" w:styleId="CommentReference">
    <w:name w:val="annotation reference"/>
    <w:basedOn w:val="DefaultParagraphFont"/>
    <w:semiHidden/>
    <w:rsid w:val="009308F0"/>
    <w:rPr>
      <w:sz w:val="18"/>
    </w:rPr>
  </w:style>
  <w:style w:type="paragraph" w:styleId="CommentText">
    <w:name w:val="annotation text"/>
    <w:basedOn w:val="Normal"/>
    <w:semiHidden/>
    <w:rsid w:val="009308F0"/>
  </w:style>
  <w:style w:type="paragraph" w:styleId="CommentSubject">
    <w:name w:val="annotation subject"/>
    <w:basedOn w:val="CommentText"/>
    <w:next w:val="CommentText"/>
    <w:semiHidden/>
    <w:rsid w:val="009308F0"/>
    <w:rPr>
      <w:sz w:val="20"/>
      <w:szCs w:val="20"/>
    </w:rPr>
  </w:style>
  <w:style w:type="character" w:styleId="PageNumber">
    <w:name w:val="page number"/>
    <w:basedOn w:val="DefaultParagraphFont"/>
    <w:rsid w:val="009308F0"/>
  </w:style>
  <w:style w:type="character" w:customStyle="1" w:styleId="CopyrightChar">
    <w:name w:val="Copyright Char"/>
    <w:basedOn w:val="DefaultParagraphFont"/>
    <w:rsid w:val="009308F0"/>
    <w:rPr>
      <w:rFonts w:eastAsia="Times"/>
      <w:smallCaps/>
      <w:noProof w:val="0"/>
      <w:spacing w:val="10"/>
      <w:sz w:val="16"/>
      <w:szCs w:val="16"/>
      <w:lang w:val="en-US" w:eastAsia="en-US" w:bidi="ar-SA"/>
    </w:rPr>
  </w:style>
  <w:style w:type="paragraph" w:customStyle="1" w:styleId="DocumentTitle">
    <w:name w:val="Document Title"/>
    <w:autoRedefine/>
    <w:rsid w:val="009308F0"/>
    <w:rPr>
      <w:rFonts w:ascii="Times" w:hAnsi="Times"/>
      <w:b/>
      <w:sz w:val="40"/>
    </w:rPr>
  </w:style>
  <w:style w:type="paragraph" w:styleId="BodyText3">
    <w:name w:val="Body Text 3"/>
    <w:basedOn w:val="Normal"/>
    <w:rsid w:val="00480D5C"/>
    <w:pPr>
      <w:spacing w:after="120"/>
    </w:pPr>
    <w:rPr>
      <w:sz w:val="16"/>
      <w:szCs w:val="16"/>
    </w:rPr>
  </w:style>
  <w:style w:type="character" w:customStyle="1" w:styleId="CopyrightCharacter">
    <w:name w:val="Copyright Character"/>
    <w:basedOn w:val="DefaultParagraphFont"/>
    <w:rsid w:val="009308F0"/>
    <w:rPr>
      <w:rFonts w:ascii="Times" w:hAnsi="Times"/>
      <w:smallCaps/>
      <w:noProof w:val="0"/>
      <w:spacing w:val="10"/>
      <w:sz w:val="16"/>
      <w:szCs w:val="16"/>
      <w:lang w:val="en-US" w:eastAsia="en-US" w:bidi="ar-SA"/>
    </w:rPr>
  </w:style>
  <w:style w:type="paragraph" w:customStyle="1" w:styleId="Times18">
    <w:name w:val="Times 18"/>
    <w:basedOn w:val="Normal"/>
    <w:rsid w:val="00480D5C"/>
    <w:rPr>
      <w:rFonts w:ascii="Times" w:hAnsi="Times"/>
      <w:sz w:val="36"/>
    </w:rPr>
  </w:style>
  <w:style w:type="paragraph" w:customStyle="1" w:styleId="blueheading">
    <w:name w:val="blue heading"/>
    <w:basedOn w:val="Normal"/>
    <w:rsid w:val="005A6204"/>
    <w:rPr>
      <w:color w:val="0000FF"/>
      <w:sz w:val="44"/>
    </w:rPr>
  </w:style>
  <w:style w:type="paragraph" w:styleId="BodyTextIndent2">
    <w:name w:val="Body Text Indent 2"/>
    <w:basedOn w:val="Normal"/>
    <w:rsid w:val="007B68EC"/>
    <w:pPr>
      <w:spacing w:after="120" w:line="480" w:lineRule="auto"/>
      <w:ind w:left="360"/>
    </w:pPr>
  </w:style>
  <w:style w:type="character" w:customStyle="1" w:styleId="BodyTextChar">
    <w:name w:val="Body Text Char"/>
    <w:basedOn w:val="DefaultParagraphFont"/>
    <w:link w:val="BodyText"/>
    <w:rsid w:val="00150782"/>
    <w:rPr>
      <w:sz w:val="36"/>
      <w:szCs w:val="36"/>
    </w:rPr>
  </w:style>
  <w:style w:type="paragraph" w:customStyle="1" w:styleId="Indented">
    <w:name w:val="Indented"/>
    <w:basedOn w:val="BodyTextIndent"/>
    <w:next w:val="Normal"/>
    <w:rsid w:val="00FB1BA7"/>
    <w:pPr>
      <w:spacing w:after="0"/>
      <w:ind w:left="720"/>
    </w:pPr>
    <w:rPr>
      <w:sz w:val="36"/>
    </w:rPr>
  </w:style>
  <w:style w:type="paragraph" w:styleId="BodyTextIndent">
    <w:name w:val="Body Text Indent"/>
    <w:basedOn w:val="Normal"/>
    <w:rsid w:val="00FB1BA7"/>
    <w:pPr>
      <w:spacing w:after="120"/>
      <w:ind w:left="360"/>
    </w:pPr>
  </w:style>
  <w:style w:type="paragraph" w:customStyle="1" w:styleId="BodyTextCentered">
    <w:name w:val="Body Text + Centered"/>
    <w:basedOn w:val="BodyText"/>
    <w:rsid w:val="00694AF3"/>
    <w:pPr>
      <w:jc w:val="center"/>
    </w:pPr>
  </w:style>
  <w:style w:type="paragraph" w:customStyle="1" w:styleId="CaseTitle">
    <w:name w:val="Case Title"/>
    <w:rsid w:val="00893B50"/>
    <w:pPr>
      <w:jc w:val="center"/>
    </w:pPr>
    <w:rPr>
      <w:rFonts w:ascii="Times" w:hAnsi="Times"/>
      <w:sz w:val="40"/>
    </w:rPr>
  </w:style>
  <w:style w:type="character" w:customStyle="1" w:styleId="FootnoteTextChar">
    <w:name w:val="Footnote Text Char"/>
    <w:basedOn w:val="BodyTextChar"/>
    <w:link w:val="FootnoteText"/>
    <w:rsid w:val="00546FA6"/>
  </w:style>
  <w:style w:type="paragraph" w:customStyle="1" w:styleId="greenheader">
    <w:name w:val="green header"/>
    <w:basedOn w:val="Normal"/>
    <w:next w:val="Normal"/>
    <w:rsid w:val="003F16E0"/>
    <w:pPr>
      <w:widowControl w:val="0"/>
      <w:tabs>
        <w:tab w:val="left" w:pos="720"/>
      </w:tabs>
    </w:pPr>
    <w:rPr>
      <w:color w:val="003300"/>
      <w:sz w:val="40"/>
    </w:rPr>
  </w:style>
  <w:style w:type="paragraph" w:customStyle="1" w:styleId="Hanging">
    <w:name w:val="Hanging"/>
    <w:basedOn w:val="Normal"/>
    <w:next w:val="Normal"/>
    <w:rsid w:val="003F16E0"/>
    <w:pPr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right" w:pos="8280"/>
      </w:tabs>
      <w:spacing w:before="240"/>
      <w:ind w:left="900" w:hanging="360"/>
    </w:pPr>
    <w:rPr>
      <w:rFonts w:ascii="Times" w:hAnsi="Times"/>
      <w:b/>
      <w:sz w:val="28"/>
    </w:rPr>
  </w:style>
  <w:style w:type="table" w:styleId="TableGrid">
    <w:name w:val="Table Grid"/>
    <w:basedOn w:val="TableNormal"/>
    <w:rsid w:val="00D70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720D99"/>
    <w:pPr>
      <w:spacing w:after="120"/>
      <w:ind w:left="360"/>
    </w:pPr>
    <w:rPr>
      <w:sz w:val="16"/>
      <w:szCs w:val="16"/>
    </w:rPr>
  </w:style>
  <w:style w:type="paragraph" w:customStyle="1" w:styleId="Heading">
    <w:name w:val="Heading"/>
    <w:basedOn w:val="Normal"/>
    <w:rsid w:val="002029A8"/>
    <w:pPr>
      <w:widowControl w:val="0"/>
      <w:tabs>
        <w:tab w:val="center" w:pos="4320"/>
        <w:tab w:val="left" w:pos="7020"/>
      </w:tabs>
      <w:spacing w:line="240" w:lineRule="atLeast"/>
    </w:pPr>
    <w:rPr>
      <w:rFonts w:ascii="Arial Rounded MT Bold" w:hAnsi="Arial Rounded MT Bold"/>
      <w:sz w:val="36"/>
    </w:rPr>
  </w:style>
  <w:style w:type="paragraph" w:styleId="Caption">
    <w:name w:val="caption"/>
    <w:basedOn w:val="Normal"/>
    <w:next w:val="Normal"/>
    <w:qFormat/>
    <w:rsid w:val="002029A8"/>
    <w:pPr>
      <w:widowControl w:val="0"/>
      <w:tabs>
        <w:tab w:val="center" w:pos="4320"/>
        <w:tab w:val="left" w:pos="6480"/>
        <w:tab w:val="left" w:pos="7020"/>
      </w:tabs>
      <w:spacing w:line="240" w:lineRule="atLeast"/>
    </w:pPr>
    <w:rPr>
      <w:rFonts w:ascii="Times" w:hAnsi="Times"/>
      <w:sz w:val="36"/>
    </w:rPr>
  </w:style>
  <w:style w:type="paragraph" w:customStyle="1" w:styleId="greenheading">
    <w:name w:val="green heading"/>
    <w:basedOn w:val="Normal"/>
    <w:next w:val="Normal"/>
    <w:rsid w:val="002029A8"/>
    <w:rPr>
      <w:color w:val="003300"/>
      <w:sz w:val="40"/>
    </w:rPr>
  </w:style>
  <w:style w:type="paragraph" w:styleId="PlainText">
    <w:name w:val="Plain Text"/>
    <w:basedOn w:val="Normal"/>
    <w:rsid w:val="00E7279E"/>
    <w:rPr>
      <w:rFonts w:ascii="Courier New" w:hAnsi="Courier New" w:cs="Courier New"/>
    </w:rPr>
  </w:style>
  <w:style w:type="character" w:customStyle="1" w:styleId="emailstyle180">
    <w:name w:val="emailstyle180"/>
    <w:basedOn w:val="DefaultParagraphFont"/>
    <w:rsid w:val="00A95CFD"/>
  </w:style>
  <w:style w:type="paragraph" w:customStyle="1" w:styleId="M10">
    <w:name w:val="M 10"/>
    <w:basedOn w:val="Normal"/>
    <w:rsid w:val="00A95CFD"/>
    <w:pPr>
      <w:ind w:right="-720"/>
    </w:pPr>
    <w:rPr>
      <w:rFonts w:ascii="Monaco" w:hAnsi="Monaco"/>
    </w:rPr>
  </w:style>
  <w:style w:type="paragraph" w:customStyle="1" w:styleId="T18">
    <w:name w:val="T18"/>
    <w:basedOn w:val="Normal"/>
    <w:rsid w:val="00BB3BCF"/>
    <w:pPr>
      <w:tabs>
        <w:tab w:val="center" w:pos="4320"/>
        <w:tab w:val="left" w:pos="6480"/>
        <w:tab w:val="left" w:pos="7020"/>
      </w:tabs>
      <w:spacing w:line="240" w:lineRule="atLeast"/>
      <w:ind w:right="-720"/>
      <w:jc w:val="center"/>
    </w:pPr>
    <w:rPr>
      <w:rFonts w:ascii="Times" w:hAnsi="Times"/>
      <w:sz w:val="36"/>
    </w:rPr>
  </w:style>
  <w:style w:type="paragraph" w:styleId="Date">
    <w:name w:val="Date"/>
    <w:basedOn w:val="Normal"/>
    <w:next w:val="Normal"/>
    <w:rsid w:val="00BB3BCF"/>
    <w:rPr>
      <w:sz w:val="36"/>
    </w:rPr>
  </w:style>
  <w:style w:type="paragraph" w:styleId="ListContinue2">
    <w:name w:val="List Continue 2"/>
    <w:basedOn w:val="Normal"/>
    <w:rsid w:val="00BB3BCF"/>
    <w:pPr>
      <w:spacing w:after="120"/>
      <w:ind w:left="720"/>
    </w:pPr>
    <w:rPr>
      <w:sz w:val="36"/>
    </w:rPr>
  </w:style>
  <w:style w:type="character" w:styleId="PlaceholderText">
    <w:name w:val="Placeholder Text"/>
    <w:basedOn w:val="DefaultParagraphFont"/>
    <w:uiPriority w:val="99"/>
    <w:semiHidden/>
    <w:rsid w:val="009716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Microsoft_Equation3.bin"/><Relationship Id="rId21" Type="http://schemas.openxmlformats.org/officeDocument/2006/relationships/image" Target="media/image11.png"/><Relationship Id="rId22" Type="http://schemas.openxmlformats.org/officeDocument/2006/relationships/image" Target="media/image12.pict"/><Relationship Id="rId23" Type="http://schemas.openxmlformats.org/officeDocument/2006/relationships/oleObject" Target="embeddings/Microsoft_Equation4.bin"/><Relationship Id="rId24" Type="http://schemas.openxmlformats.org/officeDocument/2006/relationships/image" Target="media/image13.png"/><Relationship Id="rId25" Type="http://schemas.openxmlformats.org/officeDocument/2006/relationships/image" Target="media/image14.pict"/><Relationship Id="rId26" Type="http://schemas.openxmlformats.org/officeDocument/2006/relationships/oleObject" Target="embeddings/Microsoft_Equation5.bin"/><Relationship Id="rId27" Type="http://schemas.openxmlformats.org/officeDocument/2006/relationships/image" Target="media/image15.png"/><Relationship Id="rId28" Type="http://schemas.openxmlformats.org/officeDocument/2006/relationships/image" Target="media/image16.pict"/><Relationship Id="rId29" Type="http://schemas.openxmlformats.org/officeDocument/2006/relationships/oleObject" Target="embeddings/Microsoft_Equation6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7.png"/><Relationship Id="rId31" Type="http://schemas.openxmlformats.org/officeDocument/2006/relationships/image" Target="media/image18.pict"/><Relationship Id="rId32" Type="http://schemas.openxmlformats.org/officeDocument/2006/relationships/oleObject" Target="embeddings/Microsoft_Equation7.bin"/><Relationship Id="rId9" Type="http://schemas.openxmlformats.org/officeDocument/2006/relationships/image" Target="media/image2.w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header" Target="header1.xml"/><Relationship Id="rId34" Type="http://schemas.openxmlformats.org/officeDocument/2006/relationships/header" Target="header2.xml"/><Relationship Id="rId35" Type="http://schemas.openxmlformats.org/officeDocument/2006/relationships/footer" Target="footer1.xml"/><Relationship Id="rId36" Type="http://schemas.openxmlformats.org/officeDocument/2006/relationships/header" Target="header3.xml"/><Relationship Id="rId10" Type="http://schemas.openxmlformats.org/officeDocument/2006/relationships/image" Target="media/image3.wmf"/><Relationship Id="rId11" Type="http://schemas.openxmlformats.org/officeDocument/2006/relationships/oleObject" Target="embeddings/Microsoft_Equation1.bin"/><Relationship Id="rId12" Type="http://schemas.openxmlformats.org/officeDocument/2006/relationships/image" Target="media/image4.wmf"/><Relationship Id="rId13" Type="http://schemas.openxmlformats.org/officeDocument/2006/relationships/image" Target="media/image5.wmf"/><Relationship Id="rId14" Type="http://schemas.openxmlformats.org/officeDocument/2006/relationships/image" Target="media/image6.wmf"/><Relationship Id="rId15" Type="http://schemas.openxmlformats.org/officeDocument/2006/relationships/image" Target="media/image7.png"/><Relationship Id="rId16" Type="http://schemas.openxmlformats.org/officeDocument/2006/relationships/image" Target="media/image8.pict"/><Relationship Id="rId17" Type="http://schemas.openxmlformats.org/officeDocument/2006/relationships/oleObject" Target="embeddings/Microsoft_Equation2.bin"/><Relationship Id="rId18" Type="http://schemas.openxmlformats.org/officeDocument/2006/relationships/image" Target="media/image9.png"/><Relationship Id="rId19" Type="http://schemas.openxmlformats.org/officeDocument/2006/relationships/image" Target="media/image10.pict"/><Relationship Id="rId37" Type="http://schemas.openxmlformats.org/officeDocument/2006/relationships/footer" Target="footer2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b\Desktop\Aneesha\Updated%20Templates\Wharton%20Branding%20Template_0401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2DA91-F351-DC48-860A-E45E8069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Settings\Deb\Desktop\Aneesha\Updated Templates\Wharton Branding Template_040108.dot</Template>
  <TotalTime>316</TotalTime>
  <Pages>18</Pages>
  <Words>1253</Words>
  <Characters>7146</Characters>
  <Application>Microsoft Macintosh Word</Application>
  <DocSecurity>0</DocSecurity>
  <Lines>59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Wharton Branding Template</vt:lpstr>
    </vt:vector>
  </TitlesOfParts>
  <Company>Stanford - Graduate School of Business</Company>
  <LinksUpToDate>false</LinksUpToDate>
  <CharactersWithSpaces>8775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Wharton Branding Template</dc:title>
  <dc:subject/>
  <dc:creator>Deborah Bitzer Riess</dc:creator>
  <cp:keywords/>
  <cp:lastModifiedBy>Ed George</cp:lastModifiedBy>
  <cp:revision>56</cp:revision>
  <cp:lastPrinted>2010-07-28T13:39:00Z</cp:lastPrinted>
  <dcterms:created xsi:type="dcterms:W3CDTF">2009-07-15T20:45:00Z</dcterms:created>
  <dcterms:modified xsi:type="dcterms:W3CDTF">2010-07-28T13:39:00Z</dcterms:modified>
</cp:coreProperties>
</file>