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200" w:before="600"/>
        <w:jc w:val="center"/>
      </w:pPr>
      <w:r>
        <w:rPr>
          <w:rFonts w:ascii="Arial" w:cs="Arial" w:eastAsia="Arial" w:hAnsi="Arial"/>
          <w:i/>
          <w:iCs/>
          <w:color w:val="6B7280"/>
          <w:sz w:val="22"/>
          <w:szCs w:val="22"/>
        </w:rPr>
        <w:t xml:space="preserve">Alphaway Technology   ×   Maritime Bank Vietnam (MSB)</w:t>
      </w:r>
    </w:p>
    <w:p>
      <w:pPr>
        <w:pBdr>
          <w:bottom w:val="single" w:color="1A1A2E" w:sz="12" w:space="4"/>
        </w:pBdr>
        <w:spacing w:after="400" w:before="100"/>
      </w:pPr>
    </w:p>
    <w:p>
      <w:pPr>
        <w:spacing w:after="200" w:before="200"/>
        <w:jc w:val="center"/>
      </w:pPr>
      <w:r>
        <w:rPr>
          <w:rFonts w:ascii="Arial" w:cs="Arial" w:eastAsia="Arial" w:hAnsi="Arial"/>
          <w:b/>
          <w:bCs/>
          <w:color w:val="1A1A2E"/>
          <w:sz w:val="32"/>
          <w:szCs w:val="32"/>
        </w:rPr>
        <w:t xml:space="preserve">MSB MEGA GAME 2026</w:t>
      </w:r>
    </w:p>
    <w:p>
      <w:pPr>
        <w:spacing w:after="120" w:before="400"/>
        <w:jc w:val="center"/>
      </w:pPr>
      <w:r>
        <w:rPr>
          <w:rFonts w:ascii="Arial" w:cs="Arial" w:eastAsia="Arial" w:hAnsi="Arial"/>
          <w:b/>
          <w:bCs/>
          <w:color w:val="1A1A2E"/>
          <w:sz w:val="44"/>
          <w:szCs w:val="44"/>
        </w:rPr>
        <w:t xml:space="preserve">Đặc tả Khởi tạo Dự án</w:t>
      </w:r>
    </w:p>
    <w:p>
      <w:pPr>
        <w:spacing w:after="600" w:before="0"/>
        <w:jc w:val="center"/>
      </w:pPr>
      <w:r>
        <w:rPr>
          <w:rFonts w:ascii="Arial" w:cs="Arial" w:eastAsia="Arial" w:hAnsi="Arial"/>
          <w:i/>
          <w:iCs/>
          <w:color w:val="16213E"/>
          <w:sz w:val="28"/>
          <w:szCs w:val="28"/>
        </w:rPr>
        <w:t xml:space="preserve">Project Charter</w:t>
      </w:r>
    </w:p>
    <w:p>
      <w:pPr>
        <w:spacing w:after="80" w:before="80"/>
        <w:jc w:val="center"/>
      </w:pPr>
      <w:r>
        <w:rPr>
          <w:rFonts w:ascii="Arial" w:cs="Arial" w:eastAsia="Arial" w:hAnsi="Arial"/>
          <w:color w:val="6B7280"/>
          <w:sz w:val="22"/>
          <w:szCs w:val="22"/>
        </w:rPr>
        <w:t xml:space="preserve">Mã tài liệu / Doc Code: </w:t>
      </w:r>
      <w:r>
        <w:rPr>
          <w:rFonts w:ascii="Arial" w:cs="Arial" w:eastAsia="Arial" w:hAnsi="Arial"/>
          <w:b/>
          <w:bCs/>
          <w:color w:val="1F2937"/>
          <w:sz w:val="22"/>
          <w:szCs w:val="22"/>
        </w:rPr>
        <w:t xml:space="preserve">CHARTER-v1.0</w:t>
      </w:r>
    </w:p>
    <w:p>
      <w:pPr>
        <w:spacing w:after="80" w:before="80"/>
        <w:jc w:val="center"/>
      </w:pPr>
      <w:r>
        <w:rPr>
          <w:rFonts w:ascii="Arial" w:cs="Arial" w:eastAsia="Arial" w:hAnsi="Arial"/>
          <w:color w:val="6B7280"/>
          <w:sz w:val="22"/>
          <w:szCs w:val="22"/>
        </w:rPr>
        <w:t xml:space="preserve">Phiên bản / Version: </w:t>
      </w:r>
      <w:r>
        <w:rPr>
          <w:rFonts w:ascii="Arial" w:cs="Arial" w:eastAsia="Arial" w:hAnsi="Arial"/>
          <w:b/>
          <w:bCs/>
          <w:color w:val="1F2937"/>
          <w:sz w:val="22"/>
          <w:szCs w:val="22"/>
        </w:rPr>
        <w:t xml:space="preserve">1.1</w:t>
      </w:r>
    </w:p>
    <w:p>
      <w:pPr>
        <w:spacing w:after="80" w:before="80"/>
        <w:jc w:val="center"/>
      </w:pPr>
      <w:r>
        <w:rPr>
          <w:rFonts w:ascii="Arial" w:cs="Arial" w:eastAsia="Arial" w:hAnsi="Arial"/>
          <w:color w:val="6B7280"/>
          <w:sz w:val="22"/>
          <w:szCs w:val="22"/>
        </w:rPr>
        <w:t xml:space="preserve">Ngày phát hành / Issue Date: </w:t>
      </w:r>
      <w:r>
        <w:rPr>
          <w:rFonts w:ascii="Arial" w:cs="Arial" w:eastAsia="Arial" w:hAnsi="Arial"/>
          <w:b/>
          <w:bCs/>
          <w:color w:val="1F2937"/>
          <w:sz w:val="22"/>
          <w:szCs w:val="22"/>
        </w:rPr>
        <w:t xml:space="preserve">2026-04-17</w:t>
      </w:r>
    </w:p>
    <w:p>
      <w:pPr>
        <w:spacing w:after="80" w:before="80"/>
        <w:jc w:val="center"/>
      </w:pPr>
      <w:r>
        <w:rPr>
          <w:rFonts w:ascii="Arial" w:cs="Arial" w:eastAsia="Arial" w:hAnsi="Arial"/>
          <w:color w:val="6B7280"/>
          <w:sz w:val="22"/>
          <w:szCs w:val="22"/>
        </w:rPr>
        <w:t xml:space="preserve">Dự án / Project: </w:t>
      </w:r>
      <w:r>
        <w:rPr>
          <w:rFonts w:ascii="Arial" w:cs="Arial" w:eastAsia="Arial" w:hAnsi="Arial"/>
          <w:b/>
          <w:bCs/>
          <w:color w:val="1F2937"/>
          <w:sz w:val="22"/>
          <w:szCs w:val="22"/>
        </w:rPr>
        <w:t xml:space="preserve">MSB-MEGA-GAME-2026</w:t>
      </w:r>
    </w:p>
    <w:p>
      <w:pPr>
        <w:pBdr>
          <w:top w:val="single" w:color="E30613" w:sz="6" w:space="8"/>
          <w:bottom w:val="single" w:color="E30613" w:sz="6" w:space="8"/>
        </w:pBdr>
        <w:spacing w:after="0" w:before="800"/>
        <w:jc w:val="center"/>
      </w:pPr>
      <w:r>
        <w:rPr>
          <w:rFonts w:ascii="Arial" w:cs="Arial" w:eastAsia="Arial" w:hAnsi="Arial"/>
          <w:b/>
          <w:bCs/>
          <w:color w:val="E30613"/>
          <w:sz w:val="20"/>
          <w:szCs w:val="20"/>
        </w:rPr>
        <w:t xml:space="preserve">CONFIDENTIAL — Walking Skeleton Test</w:t>
      </w:r>
    </w:p>
    <w:p>
      <w:r>
        <w:br w:type="page"/>
      </w:r>
    </w:p>
    <w:p>
      <w:pPr>
        <w:pBdr>
          <w:bottom w:val="single" w:color="1A1A2E" w:sz="12" w:space="4"/>
        </w:pBdr>
        <w:spacing w:after="240" w:before="400"/>
      </w:pPr>
      <w:r>
        <w:rPr>
          <w:rFonts w:ascii="Arial" w:cs="Arial" w:eastAsia="Arial" w:hAnsi="Arial"/>
          <w:b/>
          <w:bCs/>
          <w:color w:val="1A1A2E"/>
          <w:sz w:val="32"/>
          <w:szCs w:val="32"/>
        </w:rPr>
        <w:t xml:space="preserve">Phê duyệt tài liệu / Document Approval</w:t>
      </w:r>
    </w:p>
    <w:p>
      <w:pPr>
        <w:spacing w:after="240" w:before="120"/>
      </w:pPr>
      <w:r>
        <w:rPr>
          <w:rFonts w:ascii="Arial" w:cs="Arial" w:eastAsia="Arial" w:hAnsi="Arial"/>
          <w:i/>
          <w:iCs/>
          <w:color w:val="6B7280"/>
          <w:sz w:val="20"/>
          <w:szCs w:val="20"/>
        </w:rPr>
        <w:t xml:space="preserve">Tài liệu này sẽ có hiệu lực chính thức sau khi được tất cả các bên dưới đây ký và đóng dấu. This document becomes effective upon signature and seal of all parties listed below.</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607"/>
        <w:gridCol w:w="1964"/>
        <w:gridCol w:w="2232"/>
        <w:gridCol w:w="1785"/>
        <w:gridCol w:w="1340"/>
      </w:tblGrid>
      <w:tr>
        <w:trPr>
          <w:tblHeader/>
          <w:trHeight w:val="500" w:hRule="atLeast"/>
        </w:trPr>
        <w:tc>
          <w:tcPr>
            <w:tcW w:type="dxa" w:w="1607"/>
            <w:tcBorders>
              <w:top w:val="single" w:color="D0D7DE" w:sz="4"/>
              <w:left w:val="single" w:color="D0D7DE" w:sz="4"/>
              <w:bottom w:val="single" w:color="D0D7DE" w:sz="4"/>
              <w:right w:val="single" w:color="D0D7DE" w:sz="4"/>
            </w:tcBorders>
            <w:shd w:fill="E8F0FE"/>
            <w:vAlign w:val="center"/>
          </w:tcPr>
          <w:p>
            <w:pPr>
              <w:spacing w:after="80" w:before="80"/>
              <w:jc w:val="center"/>
            </w:pPr>
            <w:r>
              <w:rPr>
                <w:rFonts w:ascii="Arial" w:cs="Arial" w:eastAsia="Arial" w:hAnsi="Arial"/>
                <w:b/>
                <w:bCs/>
                <w:color w:val="1A1A2E"/>
                <w:sz w:val="20"/>
                <w:szCs w:val="20"/>
              </w:rPr>
              <w:t xml:space="preserve">Vai trò / Role</w:t>
            </w:r>
          </w:p>
        </w:tc>
        <w:tc>
          <w:tcPr>
            <w:tcW w:type="dxa" w:w="1964"/>
            <w:tcBorders>
              <w:top w:val="single" w:color="D0D7DE" w:sz="4"/>
              <w:left w:val="single" w:color="D0D7DE" w:sz="4"/>
              <w:bottom w:val="single" w:color="D0D7DE" w:sz="4"/>
              <w:right w:val="single" w:color="D0D7DE" w:sz="4"/>
            </w:tcBorders>
            <w:shd w:fill="E8F0FE"/>
            <w:vAlign w:val="center"/>
          </w:tcPr>
          <w:p>
            <w:pPr>
              <w:spacing w:after="80" w:before="80"/>
              <w:jc w:val="center"/>
            </w:pPr>
            <w:r>
              <w:rPr>
                <w:rFonts w:ascii="Arial" w:cs="Arial" w:eastAsia="Arial" w:hAnsi="Arial"/>
                <w:b/>
                <w:bCs/>
                <w:color w:val="1A1A2E"/>
                <w:sz w:val="20"/>
                <w:szCs w:val="20"/>
              </w:rPr>
              <w:t xml:space="preserve">Họ và tên / Name</w:t>
            </w:r>
          </w:p>
        </w:tc>
        <w:tc>
          <w:tcPr>
            <w:tcW w:type="dxa" w:w="2232"/>
            <w:tcBorders>
              <w:top w:val="single" w:color="D0D7DE" w:sz="4"/>
              <w:left w:val="single" w:color="D0D7DE" w:sz="4"/>
              <w:bottom w:val="single" w:color="D0D7DE" w:sz="4"/>
              <w:right w:val="single" w:color="D0D7DE" w:sz="4"/>
            </w:tcBorders>
            <w:shd w:fill="E8F0FE"/>
            <w:vAlign w:val="center"/>
          </w:tcPr>
          <w:p>
            <w:pPr>
              <w:spacing w:after="80" w:before="80"/>
              <w:jc w:val="center"/>
            </w:pPr>
            <w:r>
              <w:rPr>
                <w:rFonts w:ascii="Arial" w:cs="Arial" w:eastAsia="Arial" w:hAnsi="Arial"/>
                <w:b/>
                <w:bCs/>
                <w:color w:val="1A1A2E"/>
                <w:sz w:val="20"/>
                <w:szCs w:val="20"/>
              </w:rPr>
              <w:t xml:space="preserve">Chức danh / Title</w:t>
            </w:r>
          </w:p>
        </w:tc>
        <w:tc>
          <w:tcPr>
            <w:tcW w:type="dxa" w:w="1785"/>
            <w:tcBorders>
              <w:top w:val="single" w:color="D0D7DE" w:sz="4"/>
              <w:left w:val="single" w:color="D0D7DE" w:sz="4"/>
              <w:bottom w:val="single" w:color="D0D7DE" w:sz="4"/>
              <w:right w:val="single" w:color="D0D7DE" w:sz="4"/>
            </w:tcBorders>
            <w:shd w:fill="E8F0FE"/>
            <w:vAlign w:val="center"/>
          </w:tcPr>
          <w:p>
            <w:pPr>
              <w:spacing w:after="80" w:before="80"/>
              <w:jc w:val="center"/>
            </w:pPr>
            <w:r>
              <w:rPr>
                <w:rFonts w:ascii="Arial" w:cs="Arial" w:eastAsia="Arial" w:hAnsi="Arial"/>
                <w:b/>
                <w:bCs/>
                <w:color w:val="1A1A2E"/>
                <w:sz w:val="20"/>
                <w:szCs w:val="20"/>
              </w:rPr>
              <w:t xml:space="preserve">Chữ ký / Signature</w:t>
            </w:r>
          </w:p>
        </w:tc>
        <w:tc>
          <w:tcPr>
            <w:tcW w:type="dxa" w:w="1340"/>
            <w:tcBorders>
              <w:top w:val="single" w:color="D0D7DE" w:sz="4"/>
              <w:left w:val="single" w:color="D0D7DE" w:sz="4"/>
              <w:bottom w:val="single" w:color="D0D7DE" w:sz="4"/>
              <w:right w:val="single" w:color="D0D7DE" w:sz="4"/>
            </w:tcBorders>
            <w:shd w:fill="E8F0FE"/>
            <w:vAlign w:val="center"/>
          </w:tcPr>
          <w:p>
            <w:pPr>
              <w:spacing w:after="80" w:before="80"/>
              <w:jc w:val="center"/>
            </w:pPr>
            <w:r>
              <w:rPr>
                <w:rFonts w:ascii="Arial" w:cs="Arial" w:eastAsia="Arial" w:hAnsi="Arial"/>
                <w:b/>
                <w:bCs/>
                <w:color w:val="1A1A2E"/>
                <w:sz w:val="20"/>
                <w:szCs w:val="20"/>
              </w:rPr>
              <w:t xml:space="preserve">Ngày / Date</w:t>
            </w:r>
          </w:p>
        </w:tc>
      </w:tr>
      <w:tr>
        <w:trPr>
          <w:trHeight w:val="1200" w:hRule="atLeast"/>
        </w:trPr>
        <w:tc>
          <w:tcPr>
            <w:tcW w:type="dxa" w:w="1607"/>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b/>
                <w:bCs/>
                <w:color w:val="1F2937"/>
                <w:sz w:val="20"/>
                <w:szCs w:val="20"/>
              </w:rPr>
              <w:t xml:space="preserve">Prepared by</w:t>
            </w:r>
          </w:p>
        </w:tc>
        <w:tc>
          <w:tcPr>
            <w:tcW w:type="dxa" w:w="1964"/>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color w:val="1F2937"/>
                <w:sz w:val="20"/>
                <w:szCs w:val="20"/>
              </w:rPr>
              <w:t xml:space="preserve">Nguyễn Văn A</w:t>
            </w:r>
          </w:p>
        </w:tc>
        <w:tc>
          <w:tcPr>
            <w:tcW w:type="dxa" w:w="2232"/>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color w:val="6B7280"/>
                <w:sz w:val="20"/>
                <w:szCs w:val="20"/>
              </w:rPr>
              <w:t xml:space="preserve">Project Manager, Alphaway</w:t>
            </w:r>
          </w:p>
        </w:tc>
        <w:tc>
          <w:tcPr>
            <w:tcW w:type="dxa" w:w="1785"/>
            <w:tcBorders>
              <w:top w:val="single" w:color="D0D7DE" w:sz="4"/>
              <w:left w:val="single" w:color="D0D7DE" w:sz="4"/>
              <w:bottom w:val="single" w:color="D0D7DE" w:sz="4"/>
              <w:right w:val="single" w:color="D0D7DE" w:sz="4"/>
            </w:tcBorders>
            <w:vAlign w:val="bottom"/>
          </w:tcPr>
          <w:p>
            <w:pPr>
              <w:spacing w:after="60" w:before="60"/>
            </w:pPr>
            <w:r>
              <w:rPr>
                <w:rFonts w:ascii="Arial" w:cs="Arial" w:eastAsia="Arial" w:hAnsi="Arial"/>
                <w:sz w:val="20"/>
                <w:szCs w:val="20"/>
              </w:rPr>
              <w:t xml:space="preserve"> </w:t>
            </w:r>
          </w:p>
        </w:tc>
        <w:tc>
          <w:tcPr>
            <w:tcW w:type="dxa" w:w="1340"/>
            <w:tcBorders>
              <w:top w:val="single" w:color="D0D7DE" w:sz="4"/>
              <w:left w:val="single" w:color="D0D7DE" w:sz="4"/>
              <w:bottom w:val="single" w:color="D0D7DE" w:sz="4"/>
              <w:right w:val="single" w:color="D0D7DE" w:sz="4"/>
            </w:tcBorders>
            <w:vAlign w:val="bottom"/>
          </w:tcPr>
          <w:p>
            <w:pPr>
              <w:spacing w:after="60" w:before="60"/>
            </w:pPr>
            <w:r>
              <w:rPr>
                <w:rFonts w:ascii="Arial" w:cs="Arial" w:eastAsia="Arial" w:hAnsi="Arial"/>
                <w:sz w:val="20"/>
                <w:szCs w:val="20"/>
              </w:rPr>
              <w:t xml:space="preserve"> </w:t>
            </w:r>
          </w:p>
        </w:tc>
      </w:tr>
      <w:tr>
        <w:trPr>
          <w:trHeight w:val="1200" w:hRule="atLeast"/>
        </w:trPr>
        <w:tc>
          <w:tcPr>
            <w:tcW w:type="dxa" w:w="1607"/>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b/>
                <w:bCs/>
                <w:color w:val="1F2937"/>
                <w:sz w:val="20"/>
                <w:szCs w:val="20"/>
              </w:rPr>
              <w:t xml:space="preserve">Reviewed by</w:t>
            </w:r>
          </w:p>
        </w:tc>
        <w:tc>
          <w:tcPr>
            <w:tcW w:type="dxa" w:w="1964"/>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color w:val="1F2937"/>
                <w:sz w:val="20"/>
                <w:szCs w:val="20"/>
              </w:rPr>
              <w:t xml:space="preserve">Trần Thị B</w:t>
            </w:r>
          </w:p>
        </w:tc>
        <w:tc>
          <w:tcPr>
            <w:tcW w:type="dxa" w:w="2232"/>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color w:val="6B7280"/>
                <w:sz w:val="20"/>
                <w:szCs w:val="20"/>
              </w:rPr>
              <w:t xml:space="preserve">Solution Architect, Alphaway</w:t>
            </w:r>
          </w:p>
        </w:tc>
        <w:tc>
          <w:tcPr>
            <w:tcW w:type="dxa" w:w="1785"/>
            <w:tcBorders>
              <w:top w:val="single" w:color="D0D7DE" w:sz="4"/>
              <w:left w:val="single" w:color="D0D7DE" w:sz="4"/>
              <w:bottom w:val="single" w:color="D0D7DE" w:sz="4"/>
              <w:right w:val="single" w:color="D0D7DE" w:sz="4"/>
            </w:tcBorders>
            <w:vAlign w:val="bottom"/>
          </w:tcPr>
          <w:p>
            <w:pPr>
              <w:spacing w:after="60" w:before="60"/>
            </w:pPr>
            <w:r>
              <w:rPr>
                <w:rFonts w:ascii="Arial" w:cs="Arial" w:eastAsia="Arial" w:hAnsi="Arial"/>
                <w:sz w:val="20"/>
                <w:szCs w:val="20"/>
              </w:rPr>
              <w:t xml:space="preserve"> </w:t>
            </w:r>
          </w:p>
        </w:tc>
        <w:tc>
          <w:tcPr>
            <w:tcW w:type="dxa" w:w="1340"/>
            <w:tcBorders>
              <w:top w:val="single" w:color="D0D7DE" w:sz="4"/>
              <w:left w:val="single" w:color="D0D7DE" w:sz="4"/>
              <w:bottom w:val="single" w:color="D0D7DE" w:sz="4"/>
              <w:right w:val="single" w:color="D0D7DE" w:sz="4"/>
            </w:tcBorders>
            <w:vAlign w:val="bottom"/>
          </w:tcPr>
          <w:p>
            <w:pPr>
              <w:spacing w:after="60" w:before="60"/>
            </w:pPr>
            <w:r>
              <w:rPr>
                <w:rFonts w:ascii="Arial" w:cs="Arial" w:eastAsia="Arial" w:hAnsi="Arial"/>
                <w:sz w:val="20"/>
                <w:szCs w:val="20"/>
              </w:rPr>
              <w:t xml:space="preserve"> </w:t>
            </w:r>
          </w:p>
        </w:tc>
      </w:tr>
      <w:tr>
        <w:trPr>
          <w:trHeight w:val="1200" w:hRule="atLeast"/>
        </w:trPr>
        <w:tc>
          <w:tcPr>
            <w:tcW w:type="dxa" w:w="1607"/>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b/>
                <w:bCs/>
                <w:color w:val="1F2937"/>
                <w:sz w:val="20"/>
                <w:szCs w:val="20"/>
              </w:rPr>
              <w:t xml:space="preserve">Approved by (Vendor)</w:t>
            </w:r>
          </w:p>
        </w:tc>
        <w:tc>
          <w:tcPr>
            <w:tcW w:type="dxa" w:w="1964"/>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color w:val="1F2937"/>
                <w:sz w:val="20"/>
                <w:szCs w:val="20"/>
              </w:rPr>
              <w:t xml:space="preserve">Lê C</w:t>
            </w:r>
          </w:p>
        </w:tc>
        <w:tc>
          <w:tcPr>
            <w:tcW w:type="dxa" w:w="2232"/>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color w:val="6B7280"/>
                <w:sz w:val="20"/>
                <w:szCs w:val="20"/>
              </w:rPr>
              <w:t xml:space="preserve">Delivery Director, Alphaway</w:t>
            </w:r>
          </w:p>
        </w:tc>
        <w:tc>
          <w:tcPr>
            <w:tcW w:type="dxa" w:w="1785"/>
            <w:tcBorders>
              <w:top w:val="single" w:color="D0D7DE" w:sz="4"/>
              <w:left w:val="single" w:color="D0D7DE" w:sz="4"/>
              <w:bottom w:val="single" w:color="D0D7DE" w:sz="4"/>
              <w:right w:val="single" w:color="D0D7DE" w:sz="4"/>
            </w:tcBorders>
            <w:vAlign w:val="bottom"/>
          </w:tcPr>
          <w:p>
            <w:pPr>
              <w:spacing w:after="60" w:before="60"/>
            </w:pPr>
            <w:r>
              <w:rPr>
                <w:rFonts w:ascii="Arial" w:cs="Arial" w:eastAsia="Arial" w:hAnsi="Arial"/>
                <w:sz w:val="20"/>
                <w:szCs w:val="20"/>
              </w:rPr>
              <w:t xml:space="preserve"> </w:t>
            </w:r>
          </w:p>
        </w:tc>
        <w:tc>
          <w:tcPr>
            <w:tcW w:type="dxa" w:w="1340"/>
            <w:tcBorders>
              <w:top w:val="single" w:color="D0D7DE" w:sz="4"/>
              <w:left w:val="single" w:color="D0D7DE" w:sz="4"/>
              <w:bottom w:val="single" w:color="D0D7DE" w:sz="4"/>
              <w:right w:val="single" w:color="D0D7DE" w:sz="4"/>
            </w:tcBorders>
            <w:vAlign w:val="bottom"/>
          </w:tcPr>
          <w:p>
            <w:pPr>
              <w:spacing w:after="60" w:before="60"/>
            </w:pPr>
            <w:r>
              <w:rPr>
                <w:rFonts w:ascii="Arial" w:cs="Arial" w:eastAsia="Arial" w:hAnsi="Arial"/>
                <w:sz w:val="20"/>
                <w:szCs w:val="20"/>
              </w:rPr>
              <w:t xml:space="preserve"> </w:t>
            </w:r>
          </w:p>
        </w:tc>
      </w:tr>
      <w:tr>
        <w:trPr>
          <w:trHeight w:val="1200" w:hRule="atLeast"/>
        </w:trPr>
        <w:tc>
          <w:tcPr>
            <w:tcW w:type="dxa" w:w="1607"/>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b/>
                <w:bCs/>
                <w:color w:val="1F2937"/>
                <w:sz w:val="20"/>
                <w:szCs w:val="20"/>
              </w:rPr>
              <w:t xml:space="preserve">Reviewed by (Client)</w:t>
            </w:r>
          </w:p>
        </w:tc>
        <w:tc>
          <w:tcPr>
            <w:tcW w:type="dxa" w:w="1964"/>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color w:val="1F2937"/>
                <w:sz w:val="20"/>
                <w:szCs w:val="20"/>
              </w:rPr>
              <w:t xml:space="preserve">Phạm D</w:t>
            </w:r>
          </w:p>
        </w:tc>
        <w:tc>
          <w:tcPr>
            <w:tcW w:type="dxa" w:w="2232"/>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color w:val="6B7280"/>
                <w:sz w:val="20"/>
                <w:szCs w:val="20"/>
              </w:rPr>
              <w:t xml:space="preserve">Digital Banking Lead, MSB</w:t>
            </w:r>
          </w:p>
        </w:tc>
        <w:tc>
          <w:tcPr>
            <w:tcW w:type="dxa" w:w="1785"/>
            <w:tcBorders>
              <w:top w:val="single" w:color="D0D7DE" w:sz="4"/>
              <w:left w:val="single" w:color="D0D7DE" w:sz="4"/>
              <w:bottom w:val="single" w:color="D0D7DE" w:sz="4"/>
              <w:right w:val="single" w:color="D0D7DE" w:sz="4"/>
            </w:tcBorders>
            <w:vAlign w:val="bottom"/>
          </w:tcPr>
          <w:p>
            <w:pPr>
              <w:spacing w:after="60" w:before="60"/>
            </w:pPr>
            <w:r>
              <w:rPr>
                <w:rFonts w:ascii="Arial" w:cs="Arial" w:eastAsia="Arial" w:hAnsi="Arial"/>
                <w:sz w:val="20"/>
                <w:szCs w:val="20"/>
              </w:rPr>
              <w:t xml:space="preserve"> </w:t>
            </w:r>
          </w:p>
        </w:tc>
        <w:tc>
          <w:tcPr>
            <w:tcW w:type="dxa" w:w="1340"/>
            <w:tcBorders>
              <w:top w:val="single" w:color="D0D7DE" w:sz="4"/>
              <w:left w:val="single" w:color="D0D7DE" w:sz="4"/>
              <w:bottom w:val="single" w:color="D0D7DE" w:sz="4"/>
              <w:right w:val="single" w:color="D0D7DE" w:sz="4"/>
            </w:tcBorders>
            <w:vAlign w:val="bottom"/>
          </w:tcPr>
          <w:p>
            <w:pPr>
              <w:spacing w:after="60" w:before="60"/>
            </w:pPr>
            <w:r>
              <w:rPr>
                <w:rFonts w:ascii="Arial" w:cs="Arial" w:eastAsia="Arial" w:hAnsi="Arial"/>
                <w:sz w:val="20"/>
                <w:szCs w:val="20"/>
              </w:rPr>
              <w:t xml:space="preserve"> </w:t>
            </w:r>
          </w:p>
        </w:tc>
      </w:tr>
      <w:tr>
        <w:trPr>
          <w:trHeight w:val="1200" w:hRule="atLeast"/>
        </w:trPr>
        <w:tc>
          <w:tcPr>
            <w:tcW w:type="dxa" w:w="1607"/>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b/>
                <w:bCs/>
                <w:color w:val="1F2937"/>
                <w:sz w:val="20"/>
                <w:szCs w:val="20"/>
              </w:rPr>
              <w:t xml:space="preserve">Approved by (Client)</w:t>
            </w:r>
          </w:p>
        </w:tc>
        <w:tc>
          <w:tcPr>
            <w:tcW w:type="dxa" w:w="1964"/>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color w:val="1F2937"/>
                <w:sz w:val="20"/>
                <w:szCs w:val="20"/>
              </w:rPr>
              <w:t xml:space="preserve">Hoàng E</w:t>
            </w:r>
          </w:p>
        </w:tc>
        <w:tc>
          <w:tcPr>
            <w:tcW w:type="dxa" w:w="2232"/>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color w:val="6B7280"/>
                <w:sz w:val="20"/>
                <w:szCs w:val="20"/>
              </w:rPr>
              <w:t xml:space="preserve">CTO, MSB</w:t>
            </w:r>
          </w:p>
        </w:tc>
        <w:tc>
          <w:tcPr>
            <w:tcW w:type="dxa" w:w="1785"/>
            <w:tcBorders>
              <w:top w:val="single" w:color="D0D7DE" w:sz="4"/>
              <w:left w:val="single" w:color="D0D7DE" w:sz="4"/>
              <w:bottom w:val="single" w:color="D0D7DE" w:sz="4"/>
              <w:right w:val="single" w:color="D0D7DE" w:sz="4"/>
            </w:tcBorders>
            <w:vAlign w:val="bottom"/>
          </w:tcPr>
          <w:p>
            <w:pPr>
              <w:spacing w:after="60" w:before="60"/>
            </w:pPr>
            <w:r>
              <w:rPr>
                <w:rFonts w:ascii="Arial" w:cs="Arial" w:eastAsia="Arial" w:hAnsi="Arial"/>
                <w:sz w:val="20"/>
                <w:szCs w:val="20"/>
              </w:rPr>
              <w:t xml:space="preserve"> </w:t>
            </w:r>
          </w:p>
        </w:tc>
        <w:tc>
          <w:tcPr>
            <w:tcW w:type="dxa" w:w="1340"/>
            <w:tcBorders>
              <w:top w:val="single" w:color="D0D7DE" w:sz="4"/>
              <w:left w:val="single" w:color="D0D7DE" w:sz="4"/>
              <w:bottom w:val="single" w:color="D0D7DE" w:sz="4"/>
              <w:right w:val="single" w:color="D0D7DE" w:sz="4"/>
            </w:tcBorders>
            <w:vAlign w:val="bottom"/>
          </w:tcPr>
          <w:p>
            <w:pPr>
              <w:spacing w:after="60" w:before="60"/>
            </w:pPr>
            <w:r>
              <w:rPr>
                <w:rFonts w:ascii="Arial" w:cs="Arial" w:eastAsia="Arial" w:hAnsi="Arial"/>
                <w:sz w:val="20"/>
                <w:szCs w:val="20"/>
              </w:rPr>
              <w:t xml:space="preserve"> </w:t>
            </w:r>
          </w:p>
        </w:tc>
      </w:tr>
    </w:tbl>
    <w:p>
      <w:pPr>
        <w:spacing w:after="200" w:before="400"/>
      </w:pPr>
      <w:r>
        <w:rPr>
          <w:rFonts w:ascii="Arial" w:cs="Arial" w:eastAsia="Arial" w:hAnsi="Arial"/>
          <w:i/>
          <w:iCs/>
          <w:color w:val="6B7280"/>
          <w:sz w:val="18"/>
          <w:szCs w:val="18"/>
        </w:rPr>
        <w:t xml:space="preserve">Khi được ký phê duyệt, tài liệu này thay thế mọi phiên bản trước đó. Once signed, this document supersedes all previous versions.</w:t>
      </w:r>
    </w:p>
    <w:p>
      <w:r>
        <w:br w:type="page"/>
      </w:r>
    </w:p>
    <w:p>
      <w:pPr>
        <w:pStyle w:val="Heading1"/>
        <w:spacing w:after="200" w:before="400"/>
      </w:pPr>
      <w:r>
        <w:rPr>
          <w:rFonts w:ascii="Arial" w:cs="Arial" w:eastAsia="Arial" w:hAnsi="Arial"/>
          <w:b/>
          <w:bCs/>
          <w:color w:val="1A1A2E"/>
          <w:sz w:val="36"/>
          <w:szCs w:val="36"/>
        </w:rPr>
        <w:t xml:space="preserve">Mục lục / Table of Contents</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1A2E" w:sz="2" w:space="4"/>
        </w:pBdr>
        <w:spacing w:after="200" w:before="400"/>
      </w:pPr>
      <w:r>
        <w:rPr>
          <w:rFonts w:ascii="Arial" w:cs="Arial" w:eastAsia="Arial" w:hAnsi="Arial"/>
          <w:b/>
          <w:bCs/>
          <w:color w:val="1A1A2E"/>
          <w:sz w:val="36"/>
          <w:szCs w:val="36"/>
        </w:rPr>
        <w:t xml:space="preserve">1. Tóm tắt Điều hành</w:t>
      </w:r>
      <w:r>
        <w:rPr>
          <w:rFonts w:ascii="Arial" w:cs="Arial" w:eastAsia="Arial" w:hAnsi="Arial"/>
          <w:i/>
          <w:iCs/>
          <w:color w:val="6B7280"/>
          <w:sz w:val="30"/>
          <w:szCs w:val="30"/>
        </w:rPr>
        <w:t xml:space="preserve">  —  Executive Summary</w:t>
      </w:r>
    </w:p>
    <w:p>
      <w:pPr>
        <w:spacing w:after="60" w:before="60" w:line="276"/>
      </w:pPr>
      <w:r>
        <w:rPr>
          <w:rFonts w:ascii="Arial" w:cs="Arial" w:eastAsia="Arial" w:hAnsi="Arial"/>
          <w:color w:val="1F2937"/>
          <w:sz w:val="22"/>
          <w:szCs w:val="22"/>
        </w:rPr>
        <w:t xml:space="preserve">Dự án </w:t>
      </w:r>
      <w:r>
        <w:rPr>
          <w:rFonts w:ascii="Arial" w:cs="Arial" w:eastAsia="Arial" w:hAnsi="Arial"/>
          <w:b/>
          <w:bCs/>
          <w:color w:val="1F2937"/>
          <w:sz w:val="22"/>
          <w:szCs w:val="22"/>
        </w:rPr>
        <w:t xml:space="preserve">MSB Mega Game 2026</w:t>
      </w:r>
      <w:r>
        <w:rPr>
          <w:rFonts w:ascii="Arial" w:cs="Arial" w:eastAsia="Arial" w:hAnsi="Arial"/>
          <w:color w:val="1F2937"/>
          <w:sz w:val="22"/>
          <w:szCs w:val="22"/>
        </w:rPr>
        <w:t xml:space="preserve"> là chương trình khuyến mại gamification kỷ niệm 35 năm thành lập Ngân hàng Thương mại Cổ phần Hàng hải Việt Nam (MSB). Chương trình triển khai trong 90 ngày, từ </w:t>
      </w:r>
      <w:r>
        <w:rPr>
          <w:rFonts w:ascii="Arial" w:cs="Arial" w:eastAsia="Arial" w:hAnsi="Arial"/>
          <w:b/>
          <w:bCs/>
          <w:color w:val="1F2937"/>
          <w:sz w:val="22"/>
          <w:szCs w:val="22"/>
        </w:rPr>
        <w:t xml:space="preserve">01/06/2026 đến 31/08/2026</w:t>
      </w:r>
      <w:r>
        <w:rPr>
          <w:rFonts w:ascii="Arial" w:cs="Arial" w:eastAsia="Arial" w:hAnsi="Arial"/>
          <w:color w:val="1F2937"/>
          <w:sz w:val="22"/>
          <w:szCs w:val="22"/>
        </w:rPr>
        <w:t xml:space="preserve">, tích hợp trên ứng dụng </w:t>
      </w:r>
      <w:r>
        <w:rPr>
          <w:rFonts w:ascii="Arial" w:cs="Arial" w:eastAsia="Arial" w:hAnsi="Arial"/>
          <w:b/>
          <w:bCs/>
          <w:color w:val="1F2937"/>
          <w:sz w:val="22"/>
          <w:szCs w:val="22"/>
        </w:rPr>
        <w:t xml:space="preserve">MSB Digital Bank</w:t>
      </w:r>
      <w:r>
        <w:rPr>
          <w:rFonts w:ascii="Arial" w:cs="Arial" w:eastAsia="Arial" w:hAnsi="Arial"/>
          <w:color w:val="1F2937"/>
          <w:sz w:val="22"/>
          <w:szCs w:val="22"/>
        </w:rPr>
        <w:t xml:space="preserve">, với tổng quỹ giải thưởng </w:t>
      </w:r>
      <w:r>
        <w:rPr>
          <w:rFonts w:ascii="Arial" w:cs="Arial" w:eastAsia="Arial" w:hAnsi="Arial"/>
          <w:b/>
          <w:bCs/>
          <w:color w:val="1F2937"/>
          <w:sz w:val="22"/>
          <w:szCs w:val="22"/>
        </w:rPr>
        <w:t xml:space="preserve">18,655 tỷ VND</w:t>
      </w:r>
      <w:r>
        <w:rPr>
          <w:rFonts w:ascii="Arial" w:cs="Arial" w:eastAsia="Arial" w:hAnsi="Arial"/>
          <w:color w:val="1F2937"/>
          <w:sz w:val="22"/>
          <w:szCs w:val="22"/>
        </w:rPr>
        <w:t xml:space="preserve"> và </w:t>
      </w:r>
      <w:r>
        <w:rPr>
          <w:rFonts w:ascii="Arial" w:cs="Arial" w:eastAsia="Arial" w:hAnsi="Arial"/>
          <w:b/>
          <w:bCs/>
          <w:color w:val="1F2937"/>
          <w:sz w:val="22"/>
          <w:szCs w:val="22"/>
        </w:rPr>
        <w:t xml:space="preserve">57,281 giải</w:t>
      </w:r>
      <w:r>
        <w:rPr>
          <w:rFonts w:ascii="Arial" w:cs="Arial" w:eastAsia="Arial" w:hAnsi="Arial"/>
          <w:color w:val="1F2937"/>
          <w:sz w:val="22"/>
          <w:szCs w:val="22"/>
        </w:rPr>
        <w:t xml:space="preserve">.</w:t>
      </w:r>
    </w:p>
    <w:p>
      <w:pPr>
        <w:spacing w:after="60" w:before="60" w:line="276"/>
      </w:pPr>
      <w:r>
        <w:rPr>
          <w:rFonts w:ascii="Arial" w:cs="Arial" w:eastAsia="Arial" w:hAnsi="Arial"/>
          <w:color w:val="1F2937"/>
          <w:sz w:val="22"/>
          <w:szCs w:val="22"/>
        </w:rPr>
        <w:t xml:space="preserve">Alphaway Technology (gọi tắt là "Alphaway") là đơn vị đối tác phát triển (*development partner*), chịu trách nhiệm thiết kế, phát triển, kiểm thử và triển khai toàn bộ hệ thống Game Engine cho MSB.</w:t>
      </w:r>
    </w:p>
    <w:p>
      <w:pPr>
        <w:pStyle w:val="Heading2"/>
        <w:spacing w:after="160" w:before="320"/>
      </w:pPr>
      <w:r>
        <w:rPr>
          <w:rFonts w:ascii="Arial" w:cs="Arial" w:eastAsia="Arial" w:hAnsi="Arial"/>
          <w:b/>
          <w:bCs/>
          <w:color w:val="16213E"/>
          <w:sz w:val="28"/>
          <w:szCs w:val="28"/>
        </w:rPr>
        <w:t xml:space="preserve">1.1. Phạm vi tổng thể</w:t>
      </w:r>
      <w:r>
        <w:rPr>
          <w:rFonts w:ascii="Arial" w:cs="Arial" w:eastAsia="Arial" w:hAnsi="Arial"/>
          <w:i/>
          <w:iCs/>
          <w:color w:val="6B7280"/>
          <w:sz w:val="22"/>
          <w:szCs w:val="22"/>
        </w:rPr>
        <w:t xml:space="preserve">  —  Overall Scope</w:t>
      </w:r>
    </w:p>
    <w:p>
      <w:pPr>
        <w:spacing w:after="60" w:before="60" w:line="276"/>
      </w:pPr>
      <w:r>
        <w:rPr>
          <w:rFonts w:ascii="Arial" w:cs="Arial" w:eastAsia="Arial" w:hAnsi="Arial"/>
          <w:color w:val="1F2937"/>
          <w:sz w:val="22"/>
          <w:szCs w:val="22"/>
        </w:rPr>
        <w:t xml:space="preserve">Dự án bao gồm </w:t>
      </w:r>
      <w:r>
        <w:rPr>
          <w:rFonts w:ascii="Arial" w:cs="Arial" w:eastAsia="Arial" w:hAnsi="Arial"/>
          <w:b/>
          <w:bCs/>
          <w:color w:val="1F2937"/>
          <w:sz w:val="22"/>
          <w:szCs w:val="22"/>
        </w:rPr>
        <w:t xml:space="preserve">9 module cốt lõi</w:t>
      </w:r>
      <w:r>
        <w:rPr>
          <w:rFonts w:ascii="Arial" w:cs="Arial" w:eastAsia="Arial" w:hAnsi="Arial"/>
          <w:color w:val="1F2937"/>
          <w:sz w:val="22"/>
          <w:szCs w:val="22"/>
        </w:rPr>
        <w:t xml:space="preserve"> được xây dựng trên kiến trúc microservices, tích hợp với các hệ thống ngân hàng hiện có (Payment, Wealth, Card, USL, Account, Notification).</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3"/>
        <w:gridCol w:w="3644"/>
        <w:gridCol w:w="4191"/>
      </w:tblGrid>
      <w:tr>
        <w:trPr>
          <w:tblHeader/>
        </w:trPr>
        <w:tc>
          <w:tcPr>
            <w:tcW w:type="dxa" w:w="1093"/>
            <w:tcBorders>
              <w:top w:val="single" w:color="D0D7DE" w:sz="1"/>
              <w:left w:val="single" w:color="D0D7DE" w:sz="1"/>
              <w:bottom w:val="single" w:color="D0D7DE" w:sz="1"/>
              <w:right w:val="single" w:color="D0D7DE" w:sz="1"/>
            </w:tcBorders>
            <w:shd w:fill="E8F0FE"/>
          </w:tcPr>
          <w:p>
            <w:pPr>
              <w:spacing w:after="60" w:before="60"/>
            </w:pPr>
            <w:r>
              <w:rPr>
                <w:rFonts w:ascii="Arial" w:cs="Arial" w:eastAsia="Arial" w:hAnsi="Arial"/>
                <w:b/>
                <w:bCs/>
                <w:color w:val="1A1A2E"/>
                <w:sz w:val="22"/>
                <w:szCs w:val="22"/>
              </w:rPr>
              <w:t xml:space="preserve">#</w:t>
            </w:r>
          </w:p>
        </w:tc>
        <w:tc>
          <w:tcPr>
            <w:tcW w:type="dxa" w:w="3644"/>
            <w:tcBorders>
              <w:top w:val="single" w:color="D0D7DE" w:sz="1"/>
              <w:left w:val="single" w:color="D0D7DE" w:sz="1"/>
              <w:bottom w:val="single" w:color="D0D7DE" w:sz="1"/>
              <w:right w:val="single" w:color="D0D7DE" w:sz="1"/>
            </w:tcBorders>
            <w:shd w:fill="E8F0FE"/>
          </w:tcPr>
          <w:p>
            <w:pPr>
              <w:spacing w:after="60" w:before="60"/>
            </w:pPr>
            <w:r>
              <w:rPr>
                <w:rFonts w:ascii="Arial" w:cs="Arial" w:eastAsia="Arial" w:hAnsi="Arial"/>
                <w:b/>
                <w:bCs/>
                <w:color w:val="1A1A2E"/>
                <w:sz w:val="22"/>
                <w:szCs w:val="22"/>
              </w:rPr>
              <w:t xml:space="preserve">Module</w:t>
            </w:r>
          </w:p>
        </w:tc>
        <w:tc>
          <w:tcPr>
            <w:tcW w:type="dxa" w:w="4191"/>
            <w:tcBorders>
              <w:top w:val="single" w:color="D0D7DE" w:sz="1"/>
              <w:left w:val="single" w:color="D0D7DE" w:sz="1"/>
              <w:bottom w:val="single" w:color="D0D7DE" w:sz="1"/>
              <w:right w:val="single" w:color="D0D7DE" w:sz="1"/>
            </w:tcBorders>
            <w:shd w:fill="E8F0FE"/>
          </w:tcPr>
          <w:p>
            <w:pPr>
              <w:spacing w:after="60" w:before="60"/>
            </w:pPr>
            <w:r>
              <w:rPr>
                <w:rFonts w:ascii="Arial" w:cs="Arial" w:eastAsia="Arial" w:hAnsi="Arial"/>
                <w:b/>
                <w:bCs/>
                <w:color w:val="1A1A2E"/>
                <w:sz w:val="22"/>
                <w:szCs w:val="22"/>
              </w:rPr>
              <w:t xml:space="preserve">Chức năng chính</w:t>
            </w:r>
          </w:p>
        </w:tc>
      </w:tr>
      <w:tr>
        <w:tc>
          <w:tcPr>
            <w:tcW w:type="dxa" w:w="1093"/>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1</w:t>
            </w:r>
          </w:p>
        </w:tc>
        <w:tc>
          <w:tcPr>
            <w:tcW w:type="dxa" w:w="3644"/>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Event Processing</w:t>
            </w:r>
          </w:p>
        </w:tc>
        <w:tc>
          <w:tcPr>
            <w:tcW w:type="dxa" w:w="4191"/>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Nhận và xác thực giao dịch giao dịch (*transaction event*) realtime</w:t>
            </w:r>
          </w:p>
        </w:tc>
      </w:tr>
      <w:tr>
        <w:tc>
          <w:tcPr>
            <w:tcW w:type="dxa" w:w="1093"/>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2</w:t>
            </w:r>
          </w:p>
        </w:tc>
        <w:tc>
          <w:tcPr>
            <w:tcW w:type="dxa" w:w="3644"/>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Rule Engine</w:t>
            </w:r>
          </w:p>
        </w:tc>
        <w:tc>
          <w:tcPr>
            <w:tcW w:type="dxa" w:w="4191"/>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Tính toán lượt quay và sinh mã dự thưởng theo quy tắc nghiệp vụ</w:t>
            </w:r>
          </w:p>
        </w:tc>
      </w:tr>
      <w:tr>
        <w:tc>
          <w:tcPr>
            <w:tcW w:type="dxa" w:w="1093"/>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3</w:t>
            </w:r>
          </w:p>
        </w:tc>
        <w:tc>
          <w:tcPr>
            <w:tcW w:type="dxa" w:w="3644"/>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Gamification &amp; Loyalty</w:t>
            </w:r>
          </w:p>
        </w:tc>
        <w:tc>
          <w:tcPr>
            <w:tcW w:type="dxa" w:w="4191"/>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Tích lũy lượt chơi, điểm Loyalty, quản lý ví người dùng</w:t>
            </w:r>
          </w:p>
        </w:tc>
      </w:tr>
      <w:tr>
        <w:tc>
          <w:tcPr>
            <w:tcW w:type="dxa" w:w="1093"/>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4</w:t>
            </w:r>
          </w:p>
        </w:tc>
        <w:tc>
          <w:tcPr>
            <w:tcW w:type="dxa" w:w="3644"/>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Prize Management</w:t>
            </w:r>
          </w:p>
        </w:tc>
        <w:tc>
          <w:tcPr>
            <w:tcW w:type="dxa" w:w="4191"/>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Kho quà, phân bổ, trạng thái còn / đã trúng / đã trao</w:t>
            </w:r>
          </w:p>
        </w:tc>
      </w:tr>
      <w:tr>
        <w:tc>
          <w:tcPr>
            <w:tcW w:type="dxa" w:w="1093"/>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5</w:t>
            </w:r>
          </w:p>
        </w:tc>
        <w:tc>
          <w:tcPr>
            <w:tcW w:type="dxa" w:w="3644"/>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Lucky Draw</w:t>
            </w:r>
          </w:p>
        </w:tc>
        <w:tc>
          <w:tcPr>
            <w:tcW w:type="dxa" w:w="4191"/>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Random giải ngày + quay số tháng / Mega</w:t>
            </w:r>
          </w:p>
        </w:tc>
      </w:tr>
      <w:tr>
        <w:tc>
          <w:tcPr>
            <w:tcW w:type="dxa" w:w="1093"/>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6</w:t>
            </w:r>
          </w:p>
        </w:tc>
        <w:tc>
          <w:tcPr>
            <w:tcW w:type="dxa" w:w="3644"/>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Reward Codes</w:t>
            </w:r>
          </w:p>
        </w:tc>
        <w:tc>
          <w:tcPr>
            <w:tcW w:type="dxa" w:w="4191"/>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Sinh, cấp phát, loại trừ mã dự thưởng trúng</w:t>
            </w:r>
          </w:p>
        </w:tc>
      </w:tr>
      <w:tr>
        <w:tc>
          <w:tcPr>
            <w:tcW w:type="dxa" w:w="1093"/>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7</w:t>
            </w:r>
          </w:p>
        </w:tc>
        <w:tc>
          <w:tcPr>
            <w:tcW w:type="dxa" w:w="3644"/>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Notification</w:t>
            </w:r>
          </w:p>
        </w:tc>
        <w:tc>
          <w:tcPr>
            <w:tcW w:type="dxa" w:w="4191"/>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Push / SMS / Email / In-app realtime</w:t>
            </w:r>
          </w:p>
        </w:tc>
      </w:tr>
      <w:tr>
        <w:tc>
          <w:tcPr>
            <w:tcW w:type="dxa" w:w="1093"/>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8</w:t>
            </w:r>
          </w:p>
        </w:tc>
        <w:tc>
          <w:tcPr>
            <w:tcW w:type="dxa" w:w="3644"/>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Reporting</w:t>
            </w:r>
          </w:p>
        </w:tc>
        <w:tc>
          <w:tcPr>
            <w:tcW w:type="dxa" w:w="4191"/>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Dashboard, báo cáo, admin operations</w:t>
            </w:r>
          </w:p>
        </w:tc>
      </w:tr>
      <w:tr>
        <w:tc>
          <w:tcPr>
            <w:tcW w:type="dxa" w:w="1093"/>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9</w:t>
            </w:r>
          </w:p>
        </w:tc>
        <w:tc>
          <w:tcPr>
            <w:tcW w:type="dxa" w:w="3644"/>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Mobile UI Hub</w:t>
            </w:r>
          </w:p>
        </w:tc>
        <w:tc>
          <w:tcPr>
            <w:tcW w:type="dxa" w:w="4191"/>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Floating button, game screens, leaderboard, kho quà</w:t>
            </w:r>
          </w:p>
        </w:tc>
      </w:tr>
    </w:tbl>
    <w:p>
      <w:pPr>
        <w:spacing w:after="120"/>
      </w:pPr>
    </w:p>
    <w:p>
      <w:pPr>
        <w:pStyle w:val="Heading2"/>
        <w:spacing w:after="160" w:before="320"/>
      </w:pPr>
      <w:r>
        <w:rPr>
          <w:rFonts w:ascii="Arial" w:cs="Arial" w:eastAsia="Arial" w:hAnsi="Arial"/>
          <w:b/>
          <w:bCs/>
          <w:color w:val="16213E"/>
          <w:sz w:val="28"/>
          <w:szCs w:val="28"/>
        </w:rPr>
        <w:t xml:space="preserve">1.2. Giá trị cốt lõi</w:t>
      </w:r>
      <w:r>
        <w:rPr>
          <w:rFonts w:ascii="Arial" w:cs="Arial" w:eastAsia="Arial" w:hAnsi="Arial"/>
          <w:i/>
          <w:iCs/>
          <w:color w:val="6B7280"/>
          <w:sz w:val="22"/>
          <w:szCs w:val="22"/>
        </w:rPr>
        <w:t xml:space="preserve">  —  Key Value</w:t>
      </w:r>
    </w:p>
    <w:p>
      <w:pPr>
        <w:pBdr>
          <w:left w:val="single" w:color="0F9D9D" w:sz="6" w:space="8"/>
        </w:pBdr>
        <w:spacing w:after="80" w:before="80"/>
        <w:ind w:left="360"/>
      </w:pPr>
      <w:r>
        <w:rPr>
          <w:rFonts w:ascii="Arial" w:cs="Arial" w:eastAsia="Arial" w:hAnsi="Arial"/>
          <w:i/>
          <w:iCs/>
          <w:color w:val="6B7280"/>
          <w:sz w:val="22"/>
          <w:szCs w:val="22"/>
        </w:rPr>
        <w:t xml:space="preserve">"Khẳng định năng lực chuyển đổi số của MSB và gia tăng engagement với **1 triệu+ khách hàng số** thông qua hình thức game hóa (*gamification*) hiện đại, an toàn và tuân thủ pháp luật." — MSB Digital Banking Department</w:t>
      </w:r>
    </w:p>
    <w:p>
      <w:r>
        <w:br w:type="page"/>
      </w:r>
    </w:p>
    <w:p>
      <w:pPr>
        <w:pStyle w:val="Heading1"/>
        <w:pBdr>
          <w:bottom w:val="single" w:color="1A1A2E" w:sz="2" w:space="4"/>
        </w:pBdr>
        <w:spacing w:after="200" w:before="400"/>
      </w:pPr>
      <w:r>
        <w:rPr>
          <w:rFonts w:ascii="Arial" w:cs="Arial" w:eastAsia="Arial" w:hAnsi="Arial"/>
          <w:b/>
          <w:bCs/>
          <w:color w:val="1A1A2E"/>
          <w:sz w:val="36"/>
          <w:szCs w:val="36"/>
        </w:rPr>
        <w:t xml:space="preserve">2. Luận chứng Kinh doanh</w:t>
      </w:r>
      <w:r>
        <w:rPr>
          <w:rFonts w:ascii="Arial" w:cs="Arial" w:eastAsia="Arial" w:hAnsi="Arial"/>
          <w:i/>
          <w:iCs/>
          <w:color w:val="6B7280"/>
          <w:sz w:val="30"/>
          <w:szCs w:val="30"/>
        </w:rPr>
        <w:t xml:space="preserve">  —  Business Case</w:t>
      </w:r>
    </w:p>
    <w:p>
      <w:pPr>
        <w:pStyle w:val="Heading2"/>
        <w:spacing w:after="160" w:before="320"/>
      </w:pPr>
      <w:r>
        <w:rPr>
          <w:rFonts w:ascii="Arial" w:cs="Arial" w:eastAsia="Arial" w:hAnsi="Arial"/>
          <w:b/>
          <w:bCs/>
          <w:color w:val="16213E"/>
          <w:sz w:val="28"/>
          <w:szCs w:val="28"/>
        </w:rPr>
        <w:t xml:space="preserve">2.1. Bối cảnh</w:t>
      </w:r>
      <w:r>
        <w:rPr>
          <w:rFonts w:ascii="Arial" w:cs="Arial" w:eastAsia="Arial" w:hAnsi="Arial"/>
          <w:i/>
          <w:iCs/>
          <w:color w:val="6B7280"/>
          <w:sz w:val="22"/>
          <w:szCs w:val="22"/>
        </w:rPr>
        <w:t xml:space="preserve">  —  Context</w:t>
      </w:r>
    </w:p>
    <w:p>
      <w:pPr>
        <w:spacing w:after="60" w:before="60" w:line="276"/>
      </w:pPr>
      <w:r>
        <w:rPr>
          <w:rFonts w:ascii="Arial" w:cs="Arial" w:eastAsia="Arial" w:hAnsi="Arial"/>
          <w:color w:val="1F2937"/>
          <w:sz w:val="22"/>
          <w:szCs w:val="22"/>
        </w:rPr>
        <w:t xml:space="preserve">Ngành ngân hàng Việt Nam đang cạnh tranh khốc liệt về </w:t>
      </w:r>
      <w:r>
        <w:rPr>
          <w:rFonts w:ascii="Arial" w:cs="Arial" w:eastAsia="Arial" w:hAnsi="Arial"/>
          <w:b/>
          <w:bCs/>
          <w:color w:val="1F2937"/>
          <w:sz w:val="22"/>
          <w:szCs w:val="22"/>
        </w:rPr>
        <w:t xml:space="preserve">user acquisition</w:t>
      </w:r>
      <w:r>
        <w:rPr>
          <w:rFonts w:ascii="Arial" w:cs="Arial" w:eastAsia="Arial" w:hAnsi="Arial"/>
          <w:color w:val="1F2937"/>
          <w:sz w:val="22"/>
          <w:szCs w:val="22"/>
        </w:rPr>
        <w:t xml:space="preserve"> và </w:t>
      </w:r>
      <w:r>
        <w:rPr>
          <w:rFonts w:ascii="Arial" w:cs="Arial" w:eastAsia="Arial" w:hAnsi="Arial"/>
          <w:b/>
          <w:bCs/>
          <w:color w:val="1F2937"/>
          <w:sz w:val="22"/>
          <w:szCs w:val="22"/>
        </w:rPr>
        <w:t xml:space="preserve">retention</w:t>
      </w:r>
      <w:r>
        <w:rPr>
          <w:rFonts w:ascii="Arial" w:cs="Arial" w:eastAsia="Arial" w:hAnsi="Arial"/>
          <w:color w:val="1F2937"/>
          <w:sz w:val="22"/>
          <w:szCs w:val="22"/>
        </w:rPr>
        <w:t xml:space="preserve"> trên các nền tảng số. Theo báo cáo State Bank of Vietnam (SBV) Q1/2026, tỷ lệ giao dịch digital chiếm 82% tổng giao dịch toàn hệ thống. MSB cần một chiến dịch đủ lớn để:</w:t>
      </w:r>
    </w:p>
    <w:p>
      <w:pPr>
        <w:spacing w:after="40" w:before="40"/>
        <w:ind w:left="360"/>
      </w:pPr>
      <w:r>
        <w:rPr>
          <w:rFonts w:ascii="Arial" w:cs="Arial" w:eastAsia="Arial" w:hAnsi="Arial"/>
          <w:b/>
          <w:bCs/>
          <w:color w:val="1A1A2E"/>
          <w:sz w:val="22"/>
          <w:szCs w:val="22"/>
        </w:rPr>
        <w:t xml:space="preserve">1. </w:t>
      </w:r>
      <w:r>
        <w:rPr>
          <w:rFonts w:ascii="Arial" w:cs="Arial" w:eastAsia="Arial" w:hAnsi="Arial"/>
          <w:color w:val="1F2937"/>
          <w:sz w:val="22"/>
          <w:szCs w:val="22"/>
        </w:rPr>
        <w:t xml:space="preserve">Tăng trưởng </w:t>
      </w:r>
      <w:r>
        <w:rPr>
          <w:rFonts w:ascii="Arial" w:cs="Arial" w:eastAsia="Arial" w:hAnsi="Arial"/>
          <w:b/>
          <w:bCs/>
          <w:color w:val="1F2937"/>
          <w:sz w:val="22"/>
          <w:szCs w:val="22"/>
        </w:rPr>
        <w:t xml:space="preserve">Monthly Active Users (MAU)</w:t>
      </w:r>
      <w:r>
        <w:rPr>
          <w:rFonts w:ascii="Arial" w:cs="Arial" w:eastAsia="Arial" w:hAnsi="Arial"/>
          <w:color w:val="1F2937"/>
          <w:sz w:val="22"/>
          <w:szCs w:val="22"/>
        </w:rPr>
        <w:t xml:space="preserve"> của MSB Digital Bank lên </w:t>
      </w:r>
      <w:r>
        <w:rPr>
          <w:rFonts w:ascii="Arial" w:cs="Arial" w:eastAsia="Arial" w:hAnsi="Arial"/>
          <w:b/>
          <w:bCs/>
          <w:color w:val="1F2937"/>
          <w:sz w:val="22"/>
          <w:szCs w:val="22"/>
        </w:rPr>
        <w:t xml:space="preserve">+30%</w:t>
      </w:r>
      <w:r>
        <w:rPr>
          <w:rFonts w:ascii="Arial" w:cs="Arial" w:eastAsia="Arial" w:hAnsi="Arial"/>
          <w:color w:val="1F2937"/>
          <w:sz w:val="22"/>
          <w:szCs w:val="22"/>
        </w:rPr>
        <w:t xml:space="preserve"> so với baseline tháng 05/2026</w:t>
      </w:r>
    </w:p>
    <w:p>
      <w:pPr>
        <w:spacing w:after="40" w:before="40"/>
        <w:ind w:left="360"/>
      </w:pPr>
      <w:r>
        <w:rPr>
          <w:rFonts w:ascii="Arial" w:cs="Arial" w:eastAsia="Arial" w:hAnsi="Arial"/>
          <w:b/>
          <w:bCs/>
          <w:color w:val="1A1A2E"/>
          <w:sz w:val="22"/>
          <w:szCs w:val="22"/>
        </w:rPr>
        <w:t xml:space="preserve">2. </w:t>
      </w:r>
      <w:r>
        <w:rPr>
          <w:rFonts w:ascii="Arial" w:cs="Arial" w:eastAsia="Arial" w:hAnsi="Arial"/>
          <w:color w:val="1F2937"/>
          <w:sz w:val="22"/>
          <w:szCs w:val="22"/>
        </w:rPr>
        <w:t xml:space="preserve">Thu hút khách hàng mới mở tài khoản / sử dụng sản phẩm Wealth (M-Sinh lời, FD, CCTG)</w:t>
      </w:r>
    </w:p>
    <w:p>
      <w:pPr>
        <w:spacing w:after="40" w:before="40"/>
        <w:ind w:left="360"/>
      </w:pPr>
      <w:r>
        <w:rPr>
          <w:rFonts w:ascii="Arial" w:cs="Arial" w:eastAsia="Arial" w:hAnsi="Arial"/>
          <w:b/>
          <w:bCs/>
          <w:color w:val="1A1A2E"/>
          <w:sz w:val="22"/>
          <w:szCs w:val="22"/>
        </w:rPr>
        <w:t xml:space="preserve">3. </w:t>
      </w:r>
      <w:r>
        <w:rPr>
          <w:rFonts w:ascii="Arial" w:cs="Arial" w:eastAsia="Arial" w:hAnsi="Arial"/>
          <w:color w:val="1F2937"/>
          <w:sz w:val="22"/>
          <w:szCs w:val="22"/>
        </w:rPr>
        <w:t xml:space="preserve">Tạo buzz truyền thông nhân dịp kỷ niệm 35 năm thành lập ngân hàng</w:t>
      </w:r>
    </w:p>
    <w:p>
      <w:pPr>
        <w:pStyle w:val="Heading2"/>
        <w:spacing w:after="160" w:before="320"/>
      </w:pPr>
      <w:r>
        <w:rPr>
          <w:rFonts w:ascii="Arial" w:cs="Arial" w:eastAsia="Arial" w:hAnsi="Arial"/>
          <w:b/>
          <w:bCs/>
          <w:color w:val="16213E"/>
          <w:sz w:val="28"/>
          <w:szCs w:val="28"/>
        </w:rPr>
        <w:t xml:space="preserve">2.2. Tại sao chọn gamification</w:t>
      </w:r>
      <w:r>
        <w:rPr>
          <w:rFonts w:ascii="Arial" w:cs="Arial" w:eastAsia="Arial" w:hAnsi="Arial"/>
          <w:i/>
          <w:iCs/>
          <w:color w:val="6B7280"/>
          <w:sz w:val="22"/>
          <w:szCs w:val="22"/>
        </w:rPr>
        <w:t xml:space="preserve">  —  Why Gamification</w:t>
      </w:r>
    </w:p>
    <w:p>
      <w:pPr>
        <w:spacing w:after="60" w:before="60" w:line="276"/>
      </w:pPr>
      <w:r>
        <w:rPr>
          <w:rFonts w:ascii="Arial" w:cs="Arial" w:eastAsia="Arial" w:hAnsi="Arial"/>
          <w:color w:val="1F2937"/>
          <w:sz w:val="22"/>
          <w:szCs w:val="22"/>
        </w:rPr>
        <w:t xml:space="preserve">Tham khảo case study TPBank (2024, 2025) với 2 game "Hứng quà rơi" và "Match-3 Lì xì" — cả hai đều đạt:</w:t>
      </w:r>
    </w:p>
    <w:p>
      <w:pPr>
        <w:spacing w:after="40" w:before="40"/>
        <w:ind w:left="360"/>
      </w:pPr>
      <w:r>
        <w:rPr>
          <w:rFonts w:ascii="Arial" w:cs="Arial" w:eastAsia="Arial" w:hAnsi="Arial"/>
          <w:b/>
          <w:bCs/>
          <w:color w:val="16213E"/>
          <w:sz w:val="22"/>
          <w:szCs w:val="22"/>
        </w:rPr>
        <w:t xml:space="preserve">•  </w:t>
      </w:r>
      <w:r>
        <w:rPr>
          <w:rFonts w:ascii="Arial" w:cs="Arial" w:eastAsia="Arial" w:hAnsi="Arial"/>
          <w:b/>
          <w:bCs/>
          <w:color w:val="1F2937"/>
          <w:sz w:val="22"/>
          <w:szCs w:val="22"/>
        </w:rPr>
        <w:t xml:space="preserve">&gt;2M lượt chơi</w:t>
      </w:r>
      <w:r>
        <w:rPr>
          <w:rFonts w:ascii="Arial" w:cs="Arial" w:eastAsia="Arial" w:hAnsi="Arial"/>
          <w:color w:val="1F2937"/>
          <w:sz w:val="22"/>
          <w:szCs w:val="22"/>
        </w:rPr>
        <w:t xml:space="preserve"> trong 30 ngày</w:t>
      </w:r>
    </w:p>
    <w:p>
      <w:pPr>
        <w:spacing w:after="40" w:before="40"/>
        <w:ind w:left="360"/>
      </w:pPr>
      <w:r>
        <w:rPr>
          <w:rFonts w:ascii="Arial" w:cs="Arial" w:eastAsia="Arial" w:hAnsi="Arial"/>
          <w:b/>
          <w:bCs/>
          <w:color w:val="16213E"/>
          <w:sz w:val="22"/>
          <w:szCs w:val="22"/>
        </w:rPr>
        <w:t xml:space="preserve">•  </w:t>
      </w:r>
      <w:r>
        <w:rPr>
          <w:rFonts w:ascii="Arial" w:cs="Arial" w:eastAsia="Arial" w:hAnsi="Arial"/>
          <w:b/>
          <w:bCs/>
          <w:color w:val="1F2937"/>
          <w:sz w:val="22"/>
          <w:szCs w:val="22"/>
        </w:rPr>
        <w:t xml:space="preserve">+45% MAU</w:t>
      </w:r>
      <w:r>
        <w:rPr>
          <w:rFonts w:ascii="Arial" w:cs="Arial" w:eastAsia="Arial" w:hAnsi="Arial"/>
          <w:color w:val="1F2937"/>
          <w:sz w:val="22"/>
          <w:szCs w:val="22"/>
        </w:rPr>
        <w:t xml:space="preserve"> so với chu kỳ thường</w:t>
      </w:r>
    </w:p>
    <w:p>
      <w:pPr>
        <w:spacing w:after="40" w:before="40"/>
        <w:ind w:left="360"/>
      </w:pPr>
      <w:r>
        <w:rPr>
          <w:rFonts w:ascii="Arial" w:cs="Arial" w:eastAsia="Arial" w:hAnsi="Arial"/>
          <w:b/>
          <w:bCs/>
          <w:color w:val="16213E"/>
          <w:sz w:val="22"/>
          <w:szCs w:val="22"/>
        </w:rPr>
        <w:t xml:space="preserve">•  </w:t>
      </w:r>
      <w:r>
        <w:rPr>
          <w:rFonts w:ascii="Arial" w:cs="Arial" w:eastAsia="Arial" w:hAnsi="Arial"/>
          <w:b/>
          <w:bCs/>
          <w:color w:val="1F2937"/>
          <w:sz w:val="22"/>
          <w:szCs w:val="22"/>
        </w:rPr>
        <w:t xml:space="preserve">Chi phí per-engagement &lt; 500 VND</w:t>
      </w:r>
      <w:r>
        <w:rPr>
          <w:rFonts w:ascii="Arial" w:cs="Arial" w:eastAsia="Arial" w:hAnsi="Arial"/>
          <w:color w:val="1F2937"/>
          <w:sz w:val="22"/>
          <w:szCs w:val="22"/>
        </w:rPr>
        <w:t xml:space="preserve"> (thấp hơn 10x so với quảng cáo performance)</w:t>
      </w:r>
    </w:p>
    <w:p>
      <w:pPr>
        <w:pBdr>
          <w:left w:val="single" w:color="0F9D9D" w:sz="6" w:space="8"/>
        </w:pBdr>
        <w:spacing w:after="80" w:before="80"/>
        <w:ind w:left="360"/>
      </w:pPr>
      <w:r>
        <w:rPr>
          <w:rFonts w:ascii="Arial" w:cs="Arial" w:eastAsia="Arial" w:hAnsi="Arial"/>
          <w:i/>
          <w:iCs/>
          <w:color w:val="6B7280"/>
          <w:sz w:val="22"/>
          <w:szCs w:val="22"/>
        </w:rPr>
        <w:t xml:space="preserve">*Gamification in banking is no longer a "nice-to-have" — it's a channel. Banks that ignore it lose ground.*</w:t>
      </w:r>
    </w:p>
    <w:p>
      <w:pPr>
        <w:pStyle w:val="Heading2"/>
        <w:spacing w:after="160" w:before="320"/>
      </w:pPr>
      <w:r>
        <w:rPr>
          <w:rFonts w:ascii="Arial" w:cs="Arial" w:eastAsia="Arial" w:hAnsi="Arial"/>
          <w:b/>
          <w:bCs/>
          <w:color w:val="16213E"/>
          <w:sz w:val="28"/>
          <w:szCs w:val="28"/>
        </w:rPr>
        <w:t xml:space="preserve">2.3. Các phương án đã xem xét</w:t>
      </w:r>
      <w:r>
        <w:rPr>
          <w:rFonts w:ascii="Arial" w:cs="Arial" w:eastAsia="Arial" w:hAnsi="Arial"/>
          <w:i/>
          <w:iCs/>
          <w:color w:val="6B7280"/>
          <w:sz w:val="22"/>
          <w:szCs w:val="22"/>
        </w:rPr>
        <w:t xml:space="preserve">  —  Options Considered</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2"/>
        <w:gridCol w:w="2232"/>
        <w:gridCol w:w="2232"/>
        <w:gridCol w:w="2232"/>
      </w:tblGrid>
      <w:tr>
        <w:trPr>
          <w:tblHeader/>
        </w:trPr>
        <w:tc>
          <w:tcPr>
            <w:tcW w:type="dxa" w:w="2232"/>
            <w:tcBorders>
              <w:top w:val="single" w:color="D0D7DE" w:sz="1"/>
              <w:left w:val="single" w:color="D0D7DE" w:sz="1"/>
              <w:bottom w:val="single" w:color="D0D7DE" w:sz="1"/>
              <w:right w:val="single" w:color="D0D7DE" w:sz="1"/>
            </w:tcBorders>
            <w:shd w:fill="E8F0FE"/>
          </w:tcPr>
          <w:p>
            <w:pPr>
              <w:spacing w:after="60" w:before="60"/>
            </w:pPr>
            <w:r>
              <w:rPr>
                <w:rFonts w:ascii="Arial" w:cs="Arial" w:eastAsia="Arial" w:hAnsi="Arial"/>
                <w:b/>
                <w:bCs/>
                <w:color w:val="1A1A2E"/>
                <w:sz w:val="22"/>
                <w:szCs w:val="22"/>
              </w:rPr>
              <w:t xml:space="preserve">Phương án</w:t>
            </w:r>
          </w:p>
        </w:tc>
        <w:tc>
          <w:tcPr>
            <w:tcW w:type="dxa" w:w="2232"/>
            <w:tcBorders>
              <w:top w:val="single" w:color="D0D7DE" w:sz="1"/>
              <w:left w:val="single" w:color="D0D7DE" w:sz="1"/>
              <w:bottom w:val="single" w:color="D0D7DE" w:sz="1"/>
              <w:right w:val="single" w:color="D0D7DE" w:sz="1"/>
            </w:tcBorders>
            <w:shd w:fill="E8F0FE"/>
          </w:tcPr>
          <w:p>
            <w:pPr>
              <w:spacing w:after="60" w:before="60"/>
            </w:pPr>
            <w:r>
              <w:rPr>
                <w:rFonts w:ascii="Arial" w:cs="Arial" w:eastAsia="Arial" w:hAnsi="Arial"/>
                <w:b/>
                <w:bCs/>
                <w:color w:val="1A1A2E"/>
                <w:sz w:val="22"/>
                <w:szCs w:val="22"/>
              </w:rPr>
              <w:t xml:space="preserve">Ưu điểm</w:t>
            </w:r>
          </w:p>
        </w:tc>
        <w:tc>
          <w:tcPr>
            <w:tcW w:type="dxa" w:w="2232"/>
            <w:tcBorders>
              <w:top w:val="single" w:color="D0D7DE" w:sz="1"/>
              <w:left w:val="single" w:color="D0D7DE" w:sz="1"/>
              <w:bottom w:val="single" w:color="D0D7DE" w:sz="1"/>
              <w:right w:val="single" w:color="D0D7DE" w:sz="1"/>
            </w:tcBorders>
            <w:shd w:fill="E8F0FE"/>
          </w:tcPr>
          <w:p>
            <w:pPr>
              <w:spacing w:after="60" w:before="60"/>
            </w:pPr>
            <w:r>
              <w:rPr>
                <w:rFonts w:ascii="Arial" w:cs="Arial" w:eastAsia="Arial" w:hAnsi="Arial"/>
                <w:b/>
                <w:bCs/>
                <w:color w:val="1A1A2E"/>
                <w:sz w:val="22"/>
                <w:szCs w:val="22"/>
              </w:rPr>
              <w:t xml:space="preserve">Nhược điểm</w:t>
            </w:r>
          </w:p>
        </w:tc>
        <w:tc>
          <w:tcPr>
            <w:tcW w:type="dxa" w:w="2232"/>
            <w:tcBorders>
              <w:top w:val="single" w:color="D0D7DE" w:sz="1"/>
              <w:left w:val="single" w:color="D0D7DE" w:sz="1"/>
              <w:bottom w:val="single" w:color="D0D7DE" w:sz="1"/>
              <w:right w:val="single" w:color="D0D7DE" w:sz="1"/>
            </w:tcBorders>
            <w:shd w:fill="E8F0FE"/>
          </w:tcPr>
          <w:p>
            <w:pPr>
              <w:spacing w:after="60" w:before="60"/>
            </w:pPr>
            <w:r>
              <w:rPr>
                <w:rFonts w:ascii="Arial" w:cs="Arial" w:eastAsia="Arial" w:hAnsi="Arial"/>
                <w:b/>
                <w:bCs/>
                <w:color w:val="1A1A2E"/>
                <w:sz w:val="22"/>
                <w:szCs w:val="22"/>
              </w:rPr>
              <w:t xml:space="preserve">Quyết định</w:t>
            </w:r>
          </w:p>
        </w:tc>
      </w:tr>
      <w:tr>
        <w:tc>
          <w:tcPr>
            <w:tcW w:type="dxa" w:w="2232"/>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Khuyến mại giảm phí truyền thống</w:t>
            </w:r>
          </w:p>
        </w:tc>
        <w:tc>
          <w:tcPr>
            <w:tcW w:type="dxa" w:w="2232"/>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Đơn giản, rẻ</w:t>
            </w:r>
          </w:p>
        </w:tc>
        <w:tc>
          <w:tcPr>
            <w:tcW w:type="dxa" w:w="2232"/>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Không tạo buzz, không tăng engagement</w:t>
            </w:r>
          </w:p>
        </w:tc>
        <w:tc>
          <w:tcPr>
            <w:tcW w:type="dxa" w:w="2232"/>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 Loại</w:t>
            </w:r>
          </w:p>
        </w:tc>
      </w:tr>
      <w:tr>
        <w:tc>
          <w:tcPr>
            <w:tcW w:type="dxa" w:w="2232"/>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Chiến dịch quảng cáo performance</w:t>
            </w:r>
          </w:p>
        </w:tc>
        <w:tc>
          <w:tcPr>
            <w:tcW w:type="dxa" w:w="2232"/>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Reach rộng</w:t>
            </w:r>
          </w:p>
        </w:tc>
        <w:tc>
          <w:tcPr>
            <w:tcW w:type="dxa" w:w="2232"/>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Chi phí cao, ROI thấp</w:t>
            </w:r>
          </w:p>
        </w:tc>
        <w:tc>
          <w:tcPr>
            <w:tcW w:type="dxa" w:w="2232"/>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 Loại</w:t>
            </w:r>
          </w:p>
        </w:tc>
      </w:tr>
      <w:tr>
        <w:tc>
          <w:tcPr>
            <w:tcW w:type="dxa" w:w="2232"/>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b/>
                <w:bCs/>
                <w:color w:val="1F2937"/>
                <w:sz w:val="22"/>
                <w:szCs w:val="22"/>
              </w:rPr>
              <w:t xml:space="preserve">Mega Game 2026 (gamification)</w:t>
            </w:r>
          </w:p>
        </w:tc>
        <w:tc>
          <w:tcPr>
            <w:tcW w:type="dxa" w:w="2232"/>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b/>
                <w:bCs/>
                <w:color w:val="1F2937"/>
                <w:sz w:val="22"/>
                <w:szCs w:val="22"/>
              </w:rPr>
              <w:t xml:space="preserve">Engagement cao, buzz lớn, tái sử dụng được asset</w:t>
            </w:r>
          </w:p>
        </w:tc>
        <w:tc>
          <w:tcPr>
            <w:tcW w:type="dxa" w:w="2232"/>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b/>
                <w:bCs/>
                <w:color w:val="1F2937"/>
                <w:sz w:val="22"/>
                <w:szCs w:val="22"/>
              </w:rPr>
              <w:t xml:space="preserve">Cần phát triển phần mềm, rủi ro kỹ thuật</w:t>
            </w:r>
          </w:p>
        </w:tc>
        <w:tc>
          <w:tcPr>
            <w:tcW w:type="dxa" w:w="2232"/>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 </w:t>
            </w:r>
            <w:r>
              <w:rPr>
                <w:rFonts w:ascii="Arial" w:cs="Arial" w:eastAsia="Arial" w:hAnsi="Arial"/>
                <w:b/>
                <w:bCs/>
                <w:color w:val="1F2937"/>
                <w:sz w:val="22"/>
                <w:szCs w:val="22"/>
              </w:rPr>
              <w:t xml:space="preserve">Chọn</w:t>
            </w:r>
          </w:p>
        </w:tc>
      </w:tr>
      <w:tr>
        <w:tc>
          <w:tcPr>
            <w:tcW w:type="dxa" w:w="2232"/>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Live event offline</w:t>
            </w:r>
          </w:p>
        </w:tc>
        <w:tc>
          <w:tcPr>
            <w:tcW w:type="dxa" w:w="2232"/>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Impact lớn</w:t>
            </w:r>
          </w:p>
        </w:tc>
        <w:tc>
          <w:tcPr>
            <w:tcW w:type="dxa" w:w="2232"/>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Không scale toàn quốc, chi phí logistics</w:t>
            </w:r>
          </w:p>
        </w:tc>
        <w:tc>
          <w:tcPr>
            <w:tcW w:type="dxa" w:w="2232"/>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 Loại</w:t>
            </w:r>
          </w:p>
        </w:tc>
      </w:tr>
    </w:tbl>
    <w:p>
      <w:pPr>
        <w:spacing w:after="120"/>
      </w:pPr>
    </w:p>
    <w:p>
      <w:pPr>
        <w:pStyle w:val="Heading2"/>
        <w:spacing w:after="160" w:before="320"/>
      </w:pPr>
      <w:r>
        <w:rPr>
          <w:rFonts w:ascii="Arial" w:cs="Arial" w:eastAsia="Arial" w:hAnsi="Arial"/>
          <w:b/>
          <w:bCs/>
          <w:color w:val="16213E"/>
          <w:sz w:val="28"/>
          <w:szCs w:val="28"/>
        </w:rPr>
        <w:t xml:space="preserve">2.4. Return on Investment</w:t>
      </w:r>
      <w:r>
        <w:rPr>
          <w:rFonts w:ascii="Arial" w:cs="Arial" w:eastAsia="Arial" w:hAnsi="Arial"/>
          <w:i/>
          <w:iCs/>
          <w:color w:val="6B7280"/>
          <w:sz w:val="22"/>
          <w:szCs w:val="22"/>
        </w:rPr>
        <w:t xml:space="preserve">  —  ROI</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9"/>
        <w:gridCol w:w="2289"/>
        <w:gridCol w:w="2289"/>
        <w:gridCol w:w="2061"/>
      </w:tblGrid>
      <w:tr>
        <w:trPr>
          <w:tblHeader/>
        </w:trPr>
        <w:tc>
          <w:tcPr>
            <w:tcW w:type="dxa" w:w="2289"/>
            <w:tcBorders>
              <w:top w:val="single" w:color="D0D7DE" w:sz="1"/>
              <w:left w:val="single" w:color="D0D7DE" w:sz="1"/>
              <w:bottom w:val="single" w:color="D0D7DE" w:sz="1"/>
              <w:right w:val="single" w:color="D0D7DE" w:sz="1"/>
            </w:tcBorders>
            <w:shd w:fill="E8F0FE"/>
          </w:tcPr>
          <w:p>
            <w:pPr>
              <w:spacing w:after="60" w:before="60"/>
            </w:pPr>
            <w:r>
              <w:rPr>
                <w:rFonts w:ascii="Arial" w:cs="Arial" w:eastAsia="Arial" w:hAnsi="Arial"/>
                <w:b/>
                <w:bCs/>
                <w:color w:val="1A1A2E"/>
                <w:sz w:val="22"/>
                <w:szCs w:val="22"/>
              </w:rPr>
              <w:t xml:space="preserve">Chỉ số</w:t>
            </w:r>
          </w:p>
        </w:tc>
        <w:tc>
          <w:tcPr>
            <w:tcW w:type="dxa" w:w="2289"/>
            <w:tcBorders>
              <w:top w:val="single" w:color="D0D7DE" w:sz="1"/>
              <w:left w:val="single" w:color="D0D7DE" w:sz="1"/>
              <w:bottom w:val="single" w:color="D0D7DE" w:sz="1"/>
              <w:right w:val="single" w:color="D0D7DE" w:sz="1"/>
            </w:tcBorders>
            <w:shd w:fill="E8F0FE"/>
          </w:tcPr>
          <w:p>
            <w:pPr>
              <w:spacing w:after="60" w:before="60"/>
            </w:pPr>
            <w:r>
              <w:rPr>
                <w:rFonts w:ascii="Arial" w:cs="Arial" w:eastAsia="Arial" w:hAnsi="Arial"/>
                <w:b/>
                <w:bCs/>
                <w:color w:val="1A1A2E"/>
                <w:sz w:val="22"/>
                <w:szCs w:val="22"/>
              </w:rPr>
              <w:t xml:space="preserve">Baseline</w:t>
            </w:r>
          </w:p>
        </w:tc>
        <w:tc>
          <w:tcPr>
            <w:tcW w:type="dxa" w:w="2289"/>
            <w:tcBorders>
              <w:top w:val="single" w:color="D0D7DE" w:sz="1"/>
              <w:left w:val="single" w:color="D0D7DE" w:sz="1"/>
              <w:bottom w:val="single" w:color="D0D7DE" w:sz="1"/>
              <w:right w:val="single" w:color="D0D7DE" w:sz="1"/>
            </w:tcBorders>
            <w:shd w:fill="E8F0FE"/>
          </w:tcPr>
          <w:p>
            <w:pPr>
              <w:spacing w:after="60" w:before="60"/>
            </w:pPr>
            <w:r>
              <w:rPr>
                <w:rFonts w:ascii="Arial" w:cs="Arial" w:eastAsia="Arial" w:hAnsi="Arial"/>
                <w:b/>
                <w:bCs/>
                <w:color w:val="1A1A2E"/>
                <w:sz w:val="22"/>
                <w:szCs w:val="22"/>
              </w:rPr>
              <w:t xml:space="preserve">Target</w:t>
            </w:r>
          </w:p>
        </w:tc>
        <w:tc>
          <w:tcPr>
            <w:tcW w:type="dxa" w:w="2061"/>
            <w:tcBorders>
              <w:top w:val="single" w:color="D0D7DE" w:sz="1"/>
              <w:left w:val="single" w:color="D0D7DE" w:sz="1"/>
              <w:bottom w:val="single" w:color="D0D7DE" w:sz="1"/>
              <w:right w:val="single" w:color="D0D7DE" w:sz="1"/>
            </w:tcBorders>
            <w:shd w:fill="E8F0FE"/>
          </w:tcPr>
          <w:p>
            <w:pPr>
              <w:spacing w:after="60" w:before="60"/>
            </w:pPr>
            <w:r>
              <w:rPr>
                <w:rFonts w:ascii="Arial" w:cs="Arial" w:eastAsia="Arial" w:hAnsi="Arial"/>
                <w:b/>
                <w:bCs/>
                <w:color w:val="1A1A2E"/>
                <w:sz w:val="22"/>
                <w:szCs w:val="22"/>
              </w:rPr>
              <w:t xml:space="preserve">Delta</w:t>
            </w:r>
          </w:p>
        </w:tc>
      </w:tr>
      <w:tr>
        <w:tc>
          <w:tcPr>
            <w:tcW w:type="dxa" w:w="2289"/>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MAU MSB Digital Bank</w:t>
            </w:r>
          </w:p>
        </w:tc>
        <w:tc>
          <w:tcPr>
            <w:tcW w:type="dxa" w:w="2289"/>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850,000</w:t>
            </w:r>
          </w:p>
        </w:tc>
        <w:tc>
          <w:tcPr>
            <w:tcW w:type="dxa" w:w="2289"/>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1,100,000</w:t>
            </w:r>
          </w:p>
        </w:tc>
        <w:tc>
          <w:tcPr>
            <w:tcW w:type="dxa" w:w="2061"/>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+29%</w:t>
            </w:r>
          </w:p>
        </w:tc>
      </w:tr>
      <w:tr>
        <w:tc>
          <w:tcPr>
            <w:tcW w:type="dxa" w:w="2289"/>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Số khách hàng mở FD mới</w:t>
            </w:r>
          </w:p>
        </w:tc>
        <w:tc>
          <w:tcPr>
            <w:tcW w:type="dxa" w:w="2289"/>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12,000 / tháng</w:t>
            </w:r>
          </w:p>
        </w:tc>
        <w:tc>
          <w:tcPr>
            <w:tcW w:type="dxa" w:w="2289"/>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18,000 / tháng</w:t>
            </w:r>
          </w:p>
        </w:tc>
        <w:tc>
          <w:tcPr>
            <w:tcW w:type="dxa" w:w="2061"/>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+50%</w:t>
            </w:r>
          </w:p>
        </w:tc>
      </w:tr>
      <w:tr>
        <w:tc>
          <w:tcPr>
            <w:tcW w:type="dxa" w:w="2289"/>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Giao dịch QR (tháng)</w:t>
            </w:r>
          </w:p>
        </w:tc>
        <w:tc>
          <w:tcPr>
            <w:tcW w:type="dxa" w:w="2289"/>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3.2M</w:t>
            </w:r>
          </w:p>
        </w:tc>
        <w:tc>
          <w:tcPr>
            <w:tcW w:type="dxa" w:w="2289"/>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4.5M</w:t>
            </w:r>
          </w:p>
        </w:tc>
        <w:tc>
          <w:tcPr>
            <w:tcW w:type="dxa" w:w="2061"/>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+41%</w:t>
            </w:r>
          </w:p>
        </w:tc>
      </w:tr>
      <w:tr>
        <w:tc>
          <w:tcPr>
            <w:tcW w:type="dxa" w:w="2289"/>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Thương hiệu share-of-voice (SoV)</w:t>
            </w:r>
          </w:p>
        </w:tc>
        <w:tc>
          <w:tcPr>
            <w:tcW w:type="dxa" w:w="2289"/>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14%</w:t>
            </w:r>
          </w:p>
        </w:tc>
        <w:tc>
          <w:tcPr>
            <w:tcW w:type="dxa" w:w="2289"/>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22%</w:t>
            </w:r>
          </w:p>
        </w:tc>
        <w:tc>
          <w:tcPr>
            <w:tcW w:type="dxa" w:w="2061"/>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+57%</w:t>
            </w:r>
          </w:p>
        </w:tc>
      </w:tr>
    </w:tbl>
    <w:p>
      <w:pPr>
        <w:spacing w:after="120"/>
      </w:pPr>
    </w:p>
    <w:p>
      <w:r>
        <w:br w:type="page"/>
      </w:r>
    </w:p>
    <w:p>
      <w:pPr>
        <w:pStyle w:val="Heading1"/>
        <w:pBdr>
          <w:bottom w:val="single" w:color="1A1A2E" w:sz="2" w:space="4"/>
        </w:pBdr>
        <w:spacing w:after="200" w:before="400"/>
      </w:pPr>
      <w:r>
        <w:rPr>
          <w:rFonts w:ascii="Arial" w:cs="Arial" w:eastAsia="Arial" w:hAnsi="Arial"/>
          <w:b/>
          <w:bCs/>
          <w:color w:val="1A1A2E"/>
          <w:sz w:val="36"/>
          <w:szCs w:val="36"/>
        </w:rPr>
        <w:t xml:space="preserve">3. Mục tiêu Dự án</w:t>
      </w:r>
      <w:r>
        <w:rPr>
          <w:rFonts w:ascii="Arial" w:cs="Arial" w:eastAsia="Arial" w:hAnsi="Arial"/>
          <w:i/>
          <w:iCs/>
          <w:color w:val="6B7280"/>
          <w:sz w:val="30"/>
          <w:szCs w:val="30"/>
        </w:rPr>
        <w:t xml:space="preserve">  —  Project Objectives</w:t>
      </w:r>
    </w:p>
    <w:p>
      <w:pPr>
        <w:spacing w:after="60" w:before="60" w:line="276"/>
      </w:pPr>
      <w:r>
        <w:rPr>
          <w:rFonts w:ascii="Arial" w:cs="Arial" w:eastAsia="Arial" w:hAnsi="Arial"/>
          <w:color w:val="1F2937"/>
          <w:sz w:val="22"/>
          <w:szCs w:val="22"/>
        </w:rPr>
        <w:t xml:space="preserve">Mục tiêu SMART của dự án MSB Mega Game 2026:</w:t>
      </w:r>
    </w:p>
    <w:p>
      <w:pPr>
        <w:pStyle w:val="Heading2"/>
        <w:spacing w:after="160" w:before="320"/>
      </w:pPr>
      <w:r>
        <w:rPr>
          <w:rFonts w:ascii="Arial" w:cs="Arial" w:eastAsia="Arial" w:hAnsi="Arial"/>
          <w:b/>
          <w:bCs/>
          <w:color w:val="16213E"/>
          <w:sz w:val="28"/>
          <w:szCs w:val="28"/>
        </w:rPr>
        <w:t xml:space="preserve">3.1. Mục tiêu kinh doanh</w:t>
      </w:r>
      <w:r>
        <w:rPr>
          <w:rFonts w:ascii="Arial" w:cs="Arial" w:eastAsia="Arial" w:hAnsi="Arial"/>
          <w:i/>
          <w:iCs/>
          <w:color w:val="6B7280"/>
          <w:sz w:val="22"/>
          <w:szCs w:val="22"/>
        </w:rPr>
        <w:t xml:space="preserve">  —  Business Objectives</w:t>
      </w:r>
    </w:p>
    <w:p>
      <w:pPr>
        <w:spacing w:after="40" w:before="40"/>
        <w:ind w:left="360"/>
      </w:pPr>
      <w:r>
        <w:rPr>
          <w:rFonts w:ascii="Arial" w:cs="Arial" w:eastAsia="Arial" w:hAnsi="Arial"/>
          <w:b/>
          <w:bCs/>
          <w:color w:val="1A1A2E"/>
          <w:sz w:val="22"/>
          <w:szCs w:val="22"/>
        </w:rPr>
        <w:t xml:space="preserve">1. </w:t>
      </w:r>
      <w:r>
        <w:rPr>
          <w:rFonts w:ascii="Arial" w:cs="Arial" w:eastAsia="Arial" w:hAnsi="Arial"/>
          <w:b/>
          <w:bCs/>
          <w:color w:val="1F2937"/>
          <w:sz w:val="22"/>
          <w:szCs w:val="22"/>
        </w:rPr>
        <w:t xml:space="preserve">Specific</w:t>
      </w:r>
      <w:r>
        <w:rPr>
          <w:rFonts w:ascii="Arial" w:cs="Arial" w:eastAsia="Arial" w:hAnsi="Arial"/>
          <w:color w:val="1F2937"/>
          <w:sz w:val="22"/>
          <w:szCs w:val="22"/>
        </w:rPr>
        <w:t xml:space="preserve"> — Triển khai chương trình gamification tích hợp trên MSB Digital Bank</w:t>
      </w:r>
    </w:p>
    <w:p>
      <w:pPr>
        <w:spacing w:after="40" w:before="40"/>
        <w:ind w:left="360"/>
      </w:pPr>
      <w:r>
        <w:rPr>
          <w:rFonts w:ascii="Arial" w:cs="Arial" w:eastAsia="Arial" w:hAnsi="Arial"/>
          <w:b/>
          <w:bCs/>
          <w:color w:val="1A1A2E"/>
          <w:sz w:val="22"/>
          <w:szCs w:val="22"/>
        </w:rPr>
        <w:t xml:space="preserve">2. </w:t>
      </w:r>
      <w:r>
        <w:rPr>
          <w:rFonts w:ascii="Arial" w:cs="Arial" w:eastAsia="Arial" w:hAnsi="Arial"/>
          <w:b/>
          <w:bCs/>
          <w:color w:val="1F2937"/>
          <w:sz w:val="22"/>
          <w:szCs w:val="22"/>
        </w:rPr>
        <w:t xml:space="preserve">Measurable</w:t>
      </w:r>
      <w:r>
        <w:rPr>
          <w:rFonts w:ascii="Arial" w:cs="Arial" w:eastAsia="Arial" w:hAnsi="Arial"/>
          <w:color w:val="1F2937"/>
          <w:sz w:val="22"/>
          <w:szCs w:val="22"/>
        </w:rPr>
        <w:t xml:space="preserve"> — Đạt 1 triệu+ người dùng tham gia, 57,281 giải trao đủ, 0 lỗi critical trong production</w:t>
      </w:r>
    </w:p>
    <w:p>
      <w:pPr>
        <w:spacing w:after="40" w:before="40"/>
        <w:ind w:left="360"/>
      </w:pPr>
      <w:r>
        <w:rPr>
          <w:rFonts w:ascii="Arial" w:cs="Arial" w:eastAsia="Arial" w:hAnsi="Arial"/>
          <w:b/>
          <w:bCs/>
          <w:color w:val="1A1A2E"/>
          <w:sz w:val="22"/>
          <w:szCs w:val="22"/>
        </w:rPr>
        <w:t xml:space="preserve">3. </w:t>
      </w:r>
      <w:r>
        <w:rPr>
          <w:rFonts w:ascii="Arial" w:cs="Arial" w:eastAsia="Arial" w:hAnsi="Arial"/>
          <w:b/>
          <w:bCs/>
          <w:color w:val="1F2937"/>
          <w:sz w:val="22"/>
          <w:szCs w:val="22"/>
        </w:rPr>
        <w:t xml:space="preserve">Achievable</w:t>
      </w:r>
      <w:r>
        <w:rPr>
          <w:rFonts w:ascii="Arial" w:cs="Arial" w:eastAsia="Arial" w:hAnsi="Arial"/>
          <w:color w:val="1F2937"/>
          <w:sz w:val="22"/>
          <w:szCs w:val="22"/>
        </w:rPr>
        <w:t xml:space="preserve"> — Dựa trên precedent TPBank và năng lực đã có của Alphaway</w:t>
      </w:r>
    </w:p>
    <w:p>
      <w:pPr>
        <w:spacing w:after="40" w:before="40"/>
        <w:ind w:left="360"/>
      </w:pPr>
      <w:r>
        <w:rPr>
          <w:rFonts w:ascii="Arial" w:cs="Arial" w:eastAsia="Arial" w:hAnsi="Arial"/>
          <w:b/>
          <w:bCs/>
          <w:color w:val="1A1A2E"/>
          <w:sz w:val="22"/>
          <w:szCs w:val="22"/>
        </w:rPr>
        <w:t xml:space="preserve">4. </w:t>
      </w:r>
      <w:r>
        <w:rPr>
          <w:rFonts w:ascii="Arial" w:cs="Arial" w:eastAsia="Arial" w:hAnsi="Arial"/>
          <w:b/>
          <w:bCs/>
          <w:color w:val="1F2937"/>
          <w:sz w:val="22"/>
          <w:szCs w:val="22"/>
        </w:rPr>
        <w:t xml:space="preserve">Relevant</w:t>
      </w:r>
      <w:r>
        <w:rPr>
          <w:rFonts w:ascii="Arial" w:cs="Arial" w:eastAsia="Arial" w:hAnsi="Arial"/>
          <w:color w:val="1F2937"/>
          <w:sz w:val="22"/>
          <w:szCs w:val="22"/>
        </w:rPr>
        <w:t xml:space="preserve"> — Trực tiếp phục vụ chiến lược 35 năm kỷ niệm của MSB</w:t>
      </w:r>
    </w:p>
    <w:p>
      <w:pPr>
        <w:spacing w:after="40" w:before="40"/>
        <w:ind w:left="360"/>
      </w:pPr>
      <w:r>
        <w:rPr>
          <w:rFonts w:ascii="Arial" w:cs="Arial" w:eastAsia="Arial" w:hAnsi="Arial"/>
          <w:b/>
          <w:bCs/>
          <w:color w:val="1A1A2E"/>
          <w:sz w:val="22"/>
          <w:szCs w:val="22"/>
        </w:rPr>
        <w:t xml:space="preserve">5. </w:t>
      </w:r>
      <w:r>
        <w:rPr>
          <w:rFonts w:ascii="Arial" w:cs="Arial" w:eastAsia="Arial" w:hAnsi="Arial"/>
          <w:b/>
          <w:bCs/>
          <w:color w:val="1F2937"/>
          <w:sz w:val="22"/>
          <w:szCs w:val="22"/>
        </w:rPr>
        <w:t xml:space="preserve">Time-bound</w:t>
      </w:r>
      <w:r>
        <w:rPr>
          <w:rFonts w:ascii="Arial" w:cs="Arial" w:eastAsia="Arial" w:hAnsi="Arial"/>
          <w:color w:val="1F2937"/>
          <w:sz w:val="22"/>
          <w:szCs w:val="22"/>
        </w:rPr>
        <w:t xml:space="preserve"> — Go-live 01/06/2026, đóng chương trình 31/08/2026</w:t>
      </w:r>
    </w:p>
    <w:p>
      <w:pPr>
        <w:pStyle w:val="Heading2"/>
        <w:spacing w:after="160" w:before="320"/>
      </w:pPr>
      <w:r>
        <w:rPr>
          <w:rFonts w:ascii="Arial" w:cs="Arial" w:eastAsia="Arial" w:hAnsi="Arial"/>
          <w:b/>
          <w:bCs/>
          <w:color w:val="16213E"/>
          <w:sz w:val="28"/>
          <w:szCs w:val="28"/>
        </w:rPr>
        <w:t xml:space="preserve">3.2. Mục tiêu kỹ thuật</w:t>
      </w:r>
      <w:r>
        <w:rPr>
          <w:rFonts w:ascii="Arial" w:cs="Arial" w:eastAsia="Arial" w:hAnsi="Arial"/>
          <w:i/>
          <w:iCs/>
          <w:color w:val="6B7280"/>
          <w:sz w:val="22"/>
          <w:szCs w:val="22"/>
        </w:rPr>
        <w:t xml:space="preserve">  —  Technical Objectives</w:t>
      </w:r>
    </w:p>
    <w:p>
      <w:pPr>
        <w:spacing w:after="40" w:before="40"/>
        <w:ind w:left="360"/>
      </w:pPr>
      <w:r>
        <w:rPr>
          <w:rFonts w:ascii="Arial" w:cs="Arial" w:eastAsia="Arial" w:hAnsi="Arial"/>
          <w:b/>
          <w:bCs/>
          <w:color w:val="16213E"/>
          <w:sz w:val="22"/>
          <w:szCs w:val="22"/>
        </w:rPr>
        <w:t xml:space="preserve">•  </w:t>
      </w:r>
      <w:r>
        <w:rPr>
          <w:rFonts w:ascii="Arial" w:cs="Arial" w:eastAsia="Arial" w:hAnsi="Arial"/>
          <w:b/>
          <w:bCs/>
          <w:color w:val="1F2937"/>
          <w:sz w:val="22"/>
          <w:szCs w:val="22"/>
        </w:rPr>
        <w:t xml:space="preserve">SLA 99.9%</w:t>
      </w:r>
      <w:r>
        <w:rPr>
          <w:rFonts w:ascii="Arial" w:cs="Arial" w:eastAsia="Arial" w:hAnsi="Arial"/>
          <w:color w:val="1F2937"/>
          <w:sz w:val="22"/>
          <w:szCs w:val="22"/>
        </w:rPr>
        <w:t xml:space="preserve"> trong suốt 90 ngày chiến dịch</w:t>
      </w:r>
    </w:p>
    <w:p>
      <w:pPr>
        <w:spacing w:after="40" w:before="40"/>
        <w:ind w:left="360"/>
      </w:pPr>
      <w:r>
        <w:rPr>
          <w:rFonts w:ascii="Arial" w:cs="Arial" w:eastAsia="Arial" w:hAnsi="Arial"/>
          <w:b/>
          <w:bCs/>
          <w:color w:val="16213E"/>
          <w:sz w:val="22"/>
          <w:szCs w:val="22"/>
        </w:rPr>
        <w:t xml:space="preserve">•  </w:t>
      </w:r>
      <w:r>
        <w:rPr>
          <w:rFonts w:ascii="Arial" w:cs="Arial" w:eastAsia="Arial" w:hAnsi="Arial"/>
          <w:b/>
          <w:bCs/>
          <w:color w:val="1F2937"/>
          <w:sz w:val="22"/>
          <w:szCs w:val="22"/>
        </w:rPr>
        <w:t xml:space="preserve">Response time &lt; 2 giây</w:t>
      </w:r>
      <w:r>
        <w:rPr>
          <w:rFonts w:ascii="Arial" w:cs="Arial" w:eastAsia="Arial" w:hAnsi="Arial"/>
          <w:color w:val="1F2937"/>
          <w:sz w:val="22"/>
          <w:szCs w:val="22"/>
        </w:rPr>
        <w:t xml:space="preserve"> cho mọi API quay thưởng</w:t>
      </w:r>
    </w:p>
    <w:p>
      <w:pPr>
        <w:spacing w:after="40" w:before="40"/>
        <w:ind w:left="360"/>
      </w:pPr>
      <w:r>
        <w:rPr>
          <w:rFonts w:ascii="Arial" w:cs="Arial" w:eastAsia="Arial" w:hAnsi="Arial"/>
          <w:b/>
          <w:bCs/>
          <w:color w:val="16213E"/>
          <w:sz w:val="22"/>
          <w:szCs w:val="22"/>
        </w:rPr>
        <w:t xml:space="preserve">•  </w:t>
      </w:r>
      <w:r>
        <w:rPr>
          <w:rFonts w:ascii="Arial" w:cs="Arial" w:eastAsia="Arial" w:hAnsi="Arial"/>
          <w:b/>
          <w:bCs/>
          <w:color w:val="1F2937"/>
          <w:sz w:val="22"/>
          <w:szCs w:val="22"/>
        </w:rPr>
        <w:t xml:space="preserve">Concurrent users</w:t>
      </w:r>
      <w:r>
        <w:rPr>
          <w:rFonts w:ascii="Arial" w:cs="Arial" w:eastAsia="Arial" w:hAnsi="Arial"/>
          <w:color w:val="1F2937"/>
          <w:sz w:val="22"/>
          <w:szCs w:val="22"/>
        </w:rPr>
        <w:t xml:space="preserve">: hỗ trợ 50,000 đồng thời (peak)</w:t>
      </w:r>
    </w:p>
    <w:p>
      <w:pPr>
        <w:spacing w:after="40" w:before="40"/>
        <w:ind w:left="360"/>
      </w:pPr>
      <w:r>
        <w:rPr>
          <w:rFonts w:ascii="Arial" w:cs="Arial" w:eastAsia="Arial" w:hAnsi="Arial"/>
          <w:b/>
          <w:bCs/>
          <w:color w:val="16213E"/>
          <w:sz w:val="22"/>
          <w:szCs w:val="22"/>
        </w:rPr>
        <w:t xml:space="preserve">•  </w:t>
      </w:r>
      <w:r>
        <w:rPr>
          <w:rFonts w:ascii="Arial" w:cs="Arial" w:eastAsia="Arial" w:hAnsi="Arial"/>
          <w:b/>
          <w:bCs/>
          <w:color w:val="1F2937"/>
          <w:sz w:val="22"/>
          <w:szCs w:val="22"/>
        </w:rPr>
        <w:t xml:space="preserve">Fraud rate &lt; 0.1%</w:t>
      </w:r>
      <w:r>
        <w:rPr>
          <w:rFonts w:ascii="Arial" w:cs="Arial" w:eastAsia="Arial" w:hAnsi="Arial"/>
          <w:color w:val="1F2937"/>
          <w:sz w:val="22"/>
          <w:szCs w:val="22"/>
        </w:rPr>
        <w:t xml:space="preserve"> (đo bằng reversal / total transactions)</w:t>
      </w:r>
    </w:p>
    <w:p>
      <w:pPr>
        <w:spacing w:after="40" w:before="40"/>
        <w:ind w:left="360"/>
      </w:pPr>
      <w:r>
        <w:rPr>
          <w:rFonts w:ascii="Arial" w:cs="Arial" w:eastAsia="Arial" w:hAnsi="Arial"/>
          <w:b/>
          <w:bCs/>
          <w:color w:val="16213E"/>
          <w:sz w:val="22"/>
          <w:szCs w:val="22"/>
        </w:rPr>
        <w:t xml:space="preserve">•  </w:t>
      </w:r>
      <w:r>
        <w:rPr>
          <w:rFonts w:ascii="Arial" w:cs="Arial" w:eastAsia="Arial" w:hAnsi="Arial"/>
          <w:b/>
          <w:bCs/>
          <w:color w:val="1F2937"/>
          <w:sz w:val="22"/>
          <w:szCs w:val="22"/>
        </w:rPr>
        <w:t xml:space="preserve">Tuân thủ</w:t>
      </w:r>
      <w:r>
        <w:rPr>
          <w:rFonts w:ascii="Arial" w:cs="Arial" w:eastAsia="Arial" w:hAnsi="Arial"/>
          <w:color w:val="1F2937"/>
          <w:sz w:val="22"/>
          <w:szCs w:val="22"/>
        </w:rPr>
        <w:t xml:space="preserve">: Thông tư 09/2020/TT-NHNN, OWASP Top 10, ISO 27001 controls</w:t>
      </w:r>
    </w:p>
    <w:p>
      <w:pPr>
        <w:pStyle w:val="Heading2"/>
        <w:spacing w:after="160" w:before="320"/>
      </w:pPr>
      <w:r>
        <w:rPr>
          <w:rFonts w:ascii="Arial" w:cs="Arial" w:eastAsia="Arial" w:hAnsi="Arial"/>
          <w:b/>
          <w:bCs/>
          <w:color w:val="16213E"/>
          <w:sz w:val="28"/>
          <w:szCs w:val="28"/>
        </w:rPr>
        <w:t xml:space="preserve">3.3. Tiêu chí thành công</w:t>
      </w:r>
      <w:r>
        <w:rPr>
          <w:rFonts w:ascii="Arial" w:cs="Arial" w:eastAsia="Arial" w:hAnsi="Arial"/>
          <w:i/>
          <w:iCs/>
          <w:color w:val="6B7280"/>
          <w:sz w:val="22"/>
          <w:szCs w:val="22"/>
        </w:rPr>
        <w:t xml:space="preserve">  —  Success Criteria</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64"/>
        <w:gridCol w:w="4464"/>
      </w:tblGrid>
      <w:tr>
        <w:trPr>
          <w:tblHeader/>
        </w:trPr>
        <w:tc>
          <w:tcPr>
            <w:tcW w:type="dxa" w:w="4464"/>
            <w:tcBorders>
              <w:top w:val="single" w:color="D0D7DE" w:sz="1"/>
              <w:left w:val="single" w:color="D0D7DE" w:sz="1"/>
              <w:bottom w:val="single" w:color="D0D7DE" w:sz="1"/>
              <w:right w:val="single" w:color="D0D7DE" w:sz="1"/>
            </w:tcBorders>
            <w:shd w:fill="E8F0FE"/>
          </w:tcPr>
          <w:p>
            <w:pPr>
              <w:spacing w:after="60" w:before="60"/>
            </w:pPr>
            <w:r>
              <w:rPr>
                <w:rFonts w:ascii="Arial" w:cs="Arial" w:eastAsia="Arial" w:hAnsi="Arial"/>
                <w:b/>
                <w:bCs/>
                <w:color w:val="1A1A2E"/>
                <w:sz w:val="22"/>
                <w:szCs w:val="22"/>
              </w:rPr>
              <w:t xml:space="preserve">Tiêu chí</w:t>
            </w:r>
          </w:p>
        </w:tc>
        <w:tc>
          <w:tcPr>
            <w:tcW w:type="dxa" w:w="4464"/>
            <w:tcBorders>
              <w:top w:val="single" w:color="D0D7DE" w:sz="1"/>
              <w:left w:val="single" w:color="D0D7DE" w:sz="1"/>
              <w:bottom w:val="single" w:color="D0D7DE" w:sz="1"/>
              <w:right w:val="single" w:color="D0D7DE" w:sz="1"/>
            </w:tcBorders>
            <w:shd w:fill="E8F0FE"/>
          </w:tcPr>
          <w:p>
            <w:pPr>
              <w:spacing w:after="60" w:before="60"/>
            </w:pPr>
            <w:r>
              <w:rPr>
                <w:rFonts w:ascii="Arial" w:cs="Arial" w:eastAsia="Arial" w:hAnsi="Arial"/>
                <w:b/>
                <w:bCs/>
                <w:color w:val="1A1A2E"/>
                <w:sz w:val="22"/>
                <w:szCs w:val="22"/>
              </w:rPr>
              <w:t xml:space="preserve">Ngưỡng</w:t>
            </w:r>
          </w:p>
        </w:tc>
      </w:tr>
      <w:tr>
        <w:tc>
          <w:tcPr>
            <w:tcW w:type="dxa" w:w="4464"/>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Go-live đúng hạn (01/06/2026)</w:t>
            </w:r>
          </w:p>
        </w:tc>
        <w:tc>
          <w:tcPr>
            <w:tcW w:type="dxa" w:w="4464"/>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 No-delay</w:t>
            </w:r>
          </w:p>
        </w:tc>
      </w:tr>
      <w:tr>
        <w:tc>
          <w:tcPr>
            <w:tcW w:type="dxa" w:w="4464"/>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Zero critical incident trong tuần đầu</w:t>
            </w:r>
          </w:p>
        </w:tc>
        <w:tc>
          <w:tcPr>
            <w:tcW w:type="dxa" w:w="4464"/>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0 incident P0/P1</w:t>
            </w:r>
          </w:p>
        </w:tc>
      </w:tr>
      <w:tr>
        <w:tc>
          <w:tcPr>
            <w:tcW w:type="dxa" w:w="4464"/>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Customer satisfaction (CSAT) post-campaign</w:t>
            </w:r>
          </w:p>
        </w:tc>
        <w:tc>
          <w:tcPr>
            <w:tcW w:type="dxa" w:w="4464"/>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 4.5 / 5</w:t>
            </w:r>
          </w:p>
        </w:tc>
      </w:tr>
      <w:tr>
        <w:tc>
          <w:tcPr>
            <w:tcW w:type="dxa" w:w="4464"/>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100% giải thưởng được trao đúng quy trình</w:t>
            </w:r>
          </w:p>
        </w:tc>
        <w:tc>
          <w:tcPr>
            <w:tcW w:type="dxa" w:w="4464"/>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Theo audit log</w:t>
            </w:r>
          </w:p>
        </w:tc>
      </w:tr>
      <w:tr>
        <w:tc>
          <w:tcPr>
            <w:tcW w:type="dxa" w:w="4464"/>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Không vi phạm quy định SBV</w:t>
            </w:r>
          </w:p>
        </w:tc>
        <w:tc>
          <w:tcPr>
            <w:tcW w:type="dxa" w:w="4464"/>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Theo inspection report</w:t>
            </w:r>
          </w:p>
        </w:tc>
      </w:tr>
    </w:tbl>
    <w:p>
      <w:pPr>
        <w:spacing w:after="120"/>
      </w:pPr>
    </w:p>
    <w:p>
      <w:r>
        <w:br w:type="page"/>
      </w:r>
    </w:p>
    <w:p>
      <w:pPr>
        <w:pStyle w:val="Heading1"/>
        <w:pBdr>
          <w:bottom w:val="single" w:color="1A1A2E" w:sz="2" w:space="4"/>
        </w:pBdr>
        <w:spacing w:after="200" w:before="400"/>
      </w:pPr>
      <w:r>
        <w:rPr>
          <w:rFonts w:ascii="Arial" w:cs="Arial" w:eastAsia="Arial" w:hAnsi="Arial"/>
          <w:b/>
          <w:bCs/>
          <w:color w:val="1A1A2E"/>
          <w:sz w:val="36"/>
          <w:szCs w:val="36"/>
        </w:rPr>
        <w:t xml:space="preserve">4. Phạm vi &amp; Kiến trúc Tổng quan</w:t>
      </w:r>
      <w:r>
        <w:rPr>
          <w:rFonts w:ascii="Arial" w:cs="Arial" w:eastAsia="Arial" w:hAnsi="Arial"/>
          <w:i/>
          <w:iCs/>
          <w:color w:val="6B7280"/>
          <w:sz w:val="30"/>
          <w:szCs w:val="30"/>
        </w:rPr>
        <w:t xml:space="preserve">  —  Scope &amp; Architecture Overview</w:t>
      </w:r>
    </w:p>
    <w:p>
      <w:pPr>
        <w:pStyle w:val="Heading2"/>
        <w:spacing w:after="160" w:before="320"/>
      </w:pPr>
      <w:r>
        <w:rPr>
          <w:rFonts w:ascii="Arial" w:cs="Arial" w:eastAsia="Arial" w:hAnsi="Arial"/>
          <w:b/>
          <w:bCs/>
          <w:color w:val="16213E"/>
          <w:sz w:val="28"/>
          <w:szCs w:val="28"/>
        </w:rPr>
        <w:t xml:space="preserve">4.1. In-Scope</w:t>
      </w:r>
      <w:r>
        <w:rPr>
          <w:rFonts w:ascii="Arial" w:cs="Arial" w:eastAsia="Arial" w:hAnsi="Arial"/>
          <w:i/>
          <w:iCs/>
          <w:color w:val="6B7280"/>
          <w:sz w:val="22"/>
          <w:szCs w:val="22"/>
        </w:rPr>
        <w:t xml:space="preserve">  —  Trong phạm vi</w:t>
      </w:r>
    </w:p>
    <w:p>
      <w:pPr>
        <w:spacing w:after="40" w:before="40"/>
        <w:ind w:left="360"/>
      </w:pPr>
      <w:r>
        <w:rPr>
          <w:rFonts w:ascii="Arial" w:cs="Arial" w:eastAsia="Arial" w:hAnsi="Arial"/>
          <w:b/>
          <w:bCs/>
          <w:color w:val="16213E"/>
          <w:sz w:val="22"/>
          <w:szCs w:val="22"/>
        </w:rPr>
        <w:t xml:space="preserve">•  </w:t>
      </w:r>
      <w:r>
        <w:rPr>
          <w:rFonts w:ascii="Arial" w:cs="Arial" w:eastAsia="Arial" w:hAnsi="Arial"/>
          <w:color w:val="1F2937"/>
          <w:sz w:val="22"/>
          <w:szCs w:val="22"/>
        </w:rPr>
        <w:t xml:space="preserve">Phát triển Game Engine (9 module) — xem Section 1.1</w:t>
      </w:r>
    </w:p>
    <w:p>
      <w:pPr>
        <w:spacing w:after="40" w:before="40"/>
        <w:ind w:left="360"/>
      </w:pPr>
      <w:r>
        <w:rPr>
          <w:rFonts w:ascii="Arial" w:cs="Arial" w:eastAsia="Arial" w:hAnsi="Arial"/>
          <w:b/>
          <w:bCs/>
          <w:color w:val="16213E"/>
          <w:sz w:val="22"/>
          <w:szCs w:val="22"/>
        </w:rPr>
        <w:t xml:space="preserve">•  </w:t>
      </w:r>
      <w:r>
        <w:rPr>
          <w:rFonts w:ascii="Arial" w:cs="Arial" w:eastAsia="Arial" w:hAnsi="Arial"/>
          <w:color w:val="1F2937"/>
          <w:sz w:val="22"/>
          <w:szCs w:val="22"/>
        </w:rPr>
        <w:t xml:space="preserve">Mini-game "Hứng quà rơi" (*falling item catch game*) 60 giây</w:t>
      </w:r>
    </w:p>
    <w:p>
      <w:pPr>
        <w:spacing w:after="40" w:before="40"/>
        <w:ind w:left="360"/>
      </w:pPr>
      <w:r>
        <w:rPr>
          <w:rFonts w:ascii="Arial" w:cs="Arial" w:eastAsia="Arial" w:hAnsi="Arial"/>
          <w:b/>
          <w:bCs/>
          <w:color w:val="16213E"/>
          <w:sz w:val="22"/>
          <w:szCs w:val="22"/>
        </w:rPr>
        <w:t xml:space="preserve">•  </w:t>
      </w:r>
      <w:r>
        <w:rPr>
          <w:rFonts w:ascii="Arial" w:cs="Arial" w:eastAsia="Arial" w:hAnsi="Arial"/>
          <w:color w:val="1F2937"/>
          <w:sz w:val="22"/>
          <w:szCs w:val="22"/>
        </w:rPr>
        <w:t xml:space="preserve">Quay số Mega Draw (slot machine reveal) cuối chiến dịch</w:t>
      </w:r>
    </w:p>
    <w:p>
      <w:pPr>
        <w:spacing w:after="40" w:before="40"/>
        <w:ind w:left="360"/>
      </w:pPr>
      <w:r>
        <w:rPr>
          <w:rFonts w:ascii="Arial" w:cs="Arial" w:eastAsia="Arial" w:hAnsi="Arial"/>
          <w:b/>
          <w:bCs/>
          <w:color w:val="16213E"/>
          <w:sz w:val="22"/>
          <w:szCs w:val="22"/>
        </w:rPr>
        <w:t xml:space="preserve">•  </w:t>
      </w:r>
      <w:r>
        <w:rPr>
          <w:rFonts w:ascii="Arial" w:cs="Arial" w:eastAsia="Arial" w:hAnsi="Arial"/>
          <w:color w:val="1F2937"/>
          <w:sz w:val="22"/>
          <w:szCs w:val="22"/>
        </w:rPr>
        <w:t xml:space="preserve">Tích hợp với 6 banking microservices của MSB</w:t>
      </w:r>
    </w:p>
    <w:p>
      <w:pPr>
        <w:spacing w:after="40" w:before="40"/>
        <w:ind w:left="360"/>
      </w:pPr>
      <w:r>
        <w:rPr>
          <w:rFonts w:ascii="Arial" w:cs="Arial" w:eastAsia="Arial" w:hAnsi="Arial"/>
          <w:b/>
          <w:bCs/>
          <w:color w:val="16213E"/>
          <w:sz w:val="22"/>
          <w:szCs w:val="22"/>
        </w:rPr>
        <w:t xml:space="preserve">•  </w:t>
      </w:r>
      <w:r>
        <w:rPr>
          <w:rFonts w:ascii="Arial" w:cs="Arial" w:eastAsia="Arial" w:hAnsi="Arial"/>
          <w:color w:val="1F2937"/>
          <w:sz w:val="22"/>
          <w:szCs w:val="22"/>
        </w:rPr>
        <w:t xml:space="preserve">Mobile UI hub (9 màn hình) tối ưu cho MSB Digital Bank WebView</w:t>
      </w:r>
    </w:p>
    <w:p>
      <w:pPr>
        <w:spacing w:after="40" w:before="40"/>
        <w:ind w:left="360"/>
      </w:pPr>
      <w:r>
        <w:rPr>
          <w:rFonts w:ascii="Arial" w:cs="Arial" w:eastAsia="Arial" w:hAnsi="Arial"/>
          <w:b/>
          <w:bCs/>
          <w:color w:val="16213E"/>
          <w:sz w:val="22"/>
          <w:szCs w:val="22"/>
        </w:rPr>
        <w:t xml:space="preserve">•  </w:t>
      </w:r>
      <w:r>
        <w:rPr>
          <w:rFonts w:ascii="Arial" w:cs="Arial" w:eastAsia="Arial" w:hAnsi="Arial"/>
          <w:color w:val="1F2937"/>
          <w:sz w:val="22"/>
          <w:szCs w:val="22"/>
        </w:rPr>
        <w:t xml:space="preserve">Admin dashboard quản lý chương trình</w:t>
      </w:r>
    </w:p>
    <w:p>
      <w:pPr>
        <w:spacing w:after="40" w:before="40"/>
        <w:ind w:left="360"/>
      </w:pPr>
      <w:r>
        <w:rPr>
          <w:rFonts w:ascii="Arial" w:cs="Arial" w:eastAsia="Arial" w:hAnsi="Arial"/>
          <w:b/>
          <w:bCs/>
          <w:color w:val="16213E"/>
          <w:sz w:val="22"/>
          <w:szCs w:val="22"/>
        </w:rPr>
        <w:t xml:space="preserve">•  </w:t>
      </w:r>
      <w:r>
        <w:rPr>
          <w:rFonts w:ascii="Arial" w:cs="Arial" w:eastAsia="Arial" w:hAnsi="Arial"/>
          <w:color w:val="1F2937"/>
          <w:sz w:val="22"/>
          <w:szCs w:val="22"/>
        </w:rPr>
        <w:t xml:space="preserve">Báo cáo realtime tồn kho quà + số người tham gia</w:t>
      </w:r>
    </w:p>
    <w:p>
      <w:pPr>
        <w:pStyle w:val="Heading2"/>
        <w:spacing w:after="160" w:before="320"/>
      </w:pPr>
      <w:r>
        <w:rPr>
          <w:rFonts w:ascii="Arial" w:cs="Arial" w:eastAsia="Arial" w:hAnsi="Arial"/>
          <w:b/>
          <w:bCs/>
          <w:color w:val="16213E"/>
          <w:sz w:val="28"/>
          <w:szCs w:val="28"/>
        </w:rPr>
        <w:t xml:space="preserve">4.2. Out-of-Scope</w:t>
      </w:r>
      <w:r>
        <w:rPr>
          <w:rFonts w:ascii="Arial" w:cs="Arial" w:eastAsia="Arial" w:hAnsi="Arial"/>
          <w:i/>
          <w:iCs/>
          <w:color w:val="6B7280"/>
          <w:sz w:val="22"/>
          <w:szCs w:val="22"/>
        </w:rPr>
        <w:t xml:space="preserve">  —  Ngoài phạm vi</w:t>
      </w:r>
    </w:p>
    <w:p>
      <w:pPr>
        <w:spacing w:after="40" w:before="40"/>
        <w:ind w:left="360"/>
      </w:pPr>
      <w:r>
        <w:rPr>
          <w:rFonts w:ascii="Arial" w:cs="Arial" w:eastAsia="Arial" w:hAnsi="Arial"/>
          <w:b/>
          <w:bCs/>
          <w:color w:val="16213E"/>
          <w:sz w:val="22"/>
          <w:szCs w:val="22"/>
        </w:rPr>
        <w:t xml:space="preserve">•  </w:t>
      </w:r>
      <w:r>
        <w:rPr>
          <w:rFonts w:ascii="Arial" w:cs="Arial" w:eastAsia="Arial" w:hAnsi="Arial"/>
          <w:color w:val="1F2937"/>
          <w:sz w:val="22"/>
          <w:szCs w:val="22"/>
        </w:rPr>
        <w:t xml:space="preserve">Không can thiệp vào core banking system của MSB</w:t>
      </w:r>
    </w:p>
    <w:p>
      <w:pPr>
        <w:spacing w:after="40" w:before="40"/>
        <w:ind w:left="360"/>
      </w:pPr>
      <w:r>
        <w:rPr>
          <w:rFonts w:ascii="Arial" w:cs="Arial" w:eastAsia="Arial" w:hAnsi="Arial"/>
          <w:b/>
          <w:bCs/>
          <w:color w:val="16213E"/>
          <w:sz w:val="22"/>
          <w:szCs w:val="22"/>
        </w:rPr>
        <w:t xml:space="preserve">•  </w:t>
      </w:r>
      <w:r>
        <w:rPr>
          <w:rFonts w:ascii="Arial" w:cs="Arial" w:eastAsia="Arial" w:hAnsi="Arial"/>
          <w:color w:val="1F2937"/>
          <w:sz w:val="22"/>
          <w:szCs w:val="22"/>
        </w:rPr>
        <w:t xml:space="preserve">Không phát triển game engine riêng — sử dụng </w:t>
      </w:r>
      <w:r>
        <w:rPr>
          <w:rFonts w:ascii="Arial" w:cs="Arial" w:eastAsia="Arial" w:hAnsi="Arial"/>
          <w:b/>
          <w:bCs/>
          <w:color w:val="1F2937"/>
          <w:sz w:val="22"/>
          <w:szCs w:val="22"/>
        </w:rPr>
        <w:t xml:space="preserve">Phaser 3</w:t>
      </w:r>
      <w:r>
        <w:rPr>
          <w:rFonts w:ascii="Arial" w:cs="Arial" w:eastAsia="Arial" w:hAnsi="Arial"/>
          <w:color w:val="1F2937"/>
          <w:sz w:val="22"/>
          <w:szCs w:val="22"/>
        </w:rPr>
        <w:t xml:space="preserve"> làm runtime</w:t>
      </w:r>
    </w:p>
    <w:p>
      <w:pPr>
        <w:spacing w:after="40" w:before="40"/>
        <w:ind w:left="360"/>
      </w:pPr>
      <w:r>
        <w:rPr>
          <w:rFonts w:ascii="Arial" w:cs="Arial" w:eastAsia="Arial" w:hAnsi="Arial"/>
          <w:b/>
          <w:bCs/>
          <w:color w:val="16213E"/>
          <w:sz w:val="22"/>
          <w:szCs w:val="22"/>
        </w:rPr>
        <w:t xml:space="preserve">•  </w:t>
      </w:r>
      <w:r>
        <w:rPr>
          <w:rFonts w:ascii="Arial" w:cs="Arial" w:eastAsia="Arial" w:hAnsi="Arial"/>
          <w:color w:val="1F2937"/>
          <w:sz w:val="22"/>
          <w:szCs w:val="22"/>
        </w:rPr>
        <w:t xml:space="preserve">Không triển khai hạ tầng cloud mới — chạy trên MSB Data Center hiện có</w:t>
      </w:r>
    </w:p>
    <w:p>
      <w:pPr>
        <w:spacing w:after="40" w:before="40"/>
        <w:ind w:left="360"/>
      </w:pPr>
      <w:r>
        <w:rPr>
          <w:rFonts w:ascii="Arial" w:cs="Arial" w:eastAsia="Arial" w:hAnsi="Arial"/>
          <w:b/>
          <w:bCs/>
          <w:color w:val="16213E"/>
          <w:sz w:val="22"/>
          <w:szCs w:val="22"/>
        </w:rPr>
        <w:t xml:space="preserve">•  </w:t>
      </w:r>
      <w:r>
        <w:rPr>
          <w:rFonts w:ascii="Arial" w:cs="Arial" w:eastAsia="Arial" w:hAnsi="Arial"/>
          <w:color w:val="1F2937"/>
          <w:sz w:val="22"/>
          <w:szCs w:val="22"/>
        </w:rPr>
        <w:t xml:space="preserve">Không xử lý thủ tục pháp lý khuyến mại (MSB tự làm với Sở Công Thương)</w:t>
      </w:r>
    </w:p>
    <w:p>
      <w:pPr>
        <w:spacing w:after="40" w:before="40"/>
        <w:ind w:left="360"/>
      </w:pPr>
      <w:r>
        <w:rPr>
          <w:rFonts w:ascii="Arial" w:cs="Arial" w:eastAsia="Arial" w:hAnsi="Arial"/>
          <w:b/>
          <w:bCs/>
          <w:color w:val="16213E"/>
          <w:sz w:val="22"/>
          <w:szCs w:val="22"/>
        </w:rPr>
        <w:t xml:space="preserve">•  </w:t>
      </w:r>
      <w:r>
        <w:rPr>
          <w:rFonts w:ascii="Arial" w:cs="Arial" w:eastAsia="Arial" w:hAnsi="Arial"/>
          <w:color w:val="1F2937"/>
          <w:sz w:val="22"/>
          <w:szCs w:val="22"/>
        </w:rPr>
        <w:t xml:space="preserve">Không thực hiện marketing campaign (MSB agency phụ trách)</w:t>
      </w:r>
    </w:p>
    <w:p>
      <w:pPr>
        <w:pStyle w:val="Heading2"/>
        <w:spacing w:after="160" w:before="320"/>
      </w:pPr>
      <w:r>
        <w:rPr>
          <w:rFonts w:ascii="Arial" w:cs="Arial" w:eastAsia="Arial" w:hAnsi="Arial"/>
          <w:b/>
          <w:bCs/>
          <w:color w:val="16213E"/>
          <w:sz w:val="28"/>
          <w:szCs w:val="28"/>
        </w:rPr>
        <w:t xml:space="preserve">4.3. Kiến trúc Tổng quan</w:t>
      </w:r>
      <w:r>
        <w:rPr>
          <w:rFonts w:ascii="Arial" w:cs="Arial" w:eastAsia="Arial" w:hAnsi="Arial"/>
          <w:i/>
          <w:iCs/>
          <w:color w:val="6B7280"/>
          <w:sz w:val="22"/>
          <w:szCs w:val="22"/>
        </w:rPr>
        <w:t xml:space="preserve">  —  Architecture Overview</w:t>
      </w:r>
    </w:p>
    <w:p>
      <w:pPr>
        <w:spacing w:after="120" w:before="120"/>
      </w:pPr>
      <w:r>
        <w:rPr>
          <w:rFonts w:ascii="Arial" w:cs="Arial" w:eastAsia="Arial" w:hAnsi="Arial"/>
          <w:i/>
          <w:iCs/>
          <w:color w:val="DC2626"/>
          <w:sz w:val="20"/>
          <w:szCs w:val="20"/>
        </w:rPr>
        <w:t xml:space="preserve">[⚠️ Missing diagram: architecture_overview.png]</w:t>
      </w:r>
    </w:p>
    <w:p>
      <w:pPr>
        <w:spacing w:after="60" w:before="60" w:line="276"/>
      </w:pPr>
      <w:r>
        <w:rPr>
          <w:rFonts w:ascii="Arial" w:cs="Arial" w:eastAsia="Arial" w:hAnsi="Arial"/>
          <w:color w:val="1F2937"/>
          <w:sz w:val="22"/>
          <w:szCs w:val="22"/>
        </w:rPr>
        <w:t xml:space="preserve">Hệ thống bao gồm 3 lớp chính:</w:t>
      </w:r>
    </w:p>
    <w:p>
      <w:pPr>
        <w:spacing w:after="40" w:before="40"/>
        <w:ind w:left="360"/>
      </w:pPr>
      <w:r>
        <w:rPr>
          <w:rFonts w:ascii="Arial" w:cs="Arial" w:eastAsia="Arial" w:hAnsi="Arial"/>
          <w:b/>
          <w:bCs/>
          <w:color w:val="1A1A2E"/>
          <w:sz w:val="22"/>
          <w:szCs w:val="22"/>
        </w:rPr>
        <w:t xml:space="preserve">1. </w:t>
      </w:r>
      <w:r>
        <w:rPr>
          <w:rFonts w:ascii="Arial" w:cs="Arial" w:eastAsia="Arial" w:hAnsi="Arial"/>
          <w:b/>
          <w:bCs/>
          <w:color w:val="1F2937"/>
          <w:sz w:val="22"/>
          <w:szCs w:val="22"/>
        </w:rPr>
        <w:t xml:space="preserve">Presentation Layer</w:t>
      </w:r>
      <w:r>
        <w:rPr>
          <w:rFonts w:ascii="Arial" w:cs="Arial" w:eastAsia="Arial" w:hAnsi="Arial"/>
          <w:color w:val="1F2937"/>
          <w:sz w:val="22"/>
          <w:szCs w:val="22"/>
        </w:rPr>
        <w:t xml:space="preserve"> — Next.js 15 + Tailwind + Phaser 3, chạy trong WebView của MSB Digital Bank</w:t>
      </w:r>
    </w:p>
    <w:p>
      <w:pPr>
        <w:spacing w:after="40" w:before="40"/>
        <w:ind w:left="360"/>
      </w:pPr>
      <w:r>
        <w:rPr>
          <w:rFonts w:ascii="Arial" w:cs="Arial" w:eastAsia="Arial" w:hAnsi="Arial"/>
          <w:b/>
          <w:bCs/>
          <w:color w:val="1A1A2E"/>
          <w:sz w:val="22"/>
          <w:szCs w:val="22"/>
        </w:rPr>
        <w:t xml:space="preserve">2. </w:t>
      </w:r>
      <w:r>
        <w:rPr>
          <w:rFonts w:ascii="Arial" w:cs="Arial" w:eastAsia="Arial" w:hAnsi="Arial"/>
          <w:b/>
          <w:bCs/>
          <w:color w:val="1F2937"/>
          <w:sz w:val="22"/>
          <w:szCs w:val="22"/>
        </w:rPr>
        <w:t xml:space="preserve">Application Layer</w:t>
      </w:r>
      <w:r>
        <w:rPr>
          <w:rFonts w:ascii="Arial" w:cs="Arial" w:eastAsia="Arial" w:hAnsi="Arial"/>
          <w:color w:val="1F2937"/>
          <w:sz w:val="22"/>
          <w:szCs w:val="22"/>
        </w:rPr>
        <w:t xml:space="preserve"> — FastAPI backend, Rule Engine, Lucky Draw, Prize Management</w:t>
      </w:r>
    </w:p>
    <w:p>
      <w:pPr>
        <w:spacing w:after="40" w:before="40"/>
        <w:ind w:left="360"/>
      </w:pPr>
      <w:r>
        <w:rPr>
          <w:rFonts w:ascii="Arial" w:cs="Arial" w:eastAsia="Arial" w:hAnsi="Arial"/>
          <w:b/>
          <w:bCs/>
          <w:color w:val="1A1A2E"/>
          <w:sz w:val="22"/>
          <w:szCs w:val="22"/>
        </w:rPr>
        <w:t xml:space="preserve">3. </w:t>
      </w:r>
      <w:r>
        <w:rPr>
          <w:rFonts w:ascii="Arial" w:cs="Arial" w:eastAsia="Arial" w:hAnsi="Arial"/>
          <w:b/>
          <w:bCs/>
          <w:color w:val="1F2937"/>
          <w:sz w:val="22"/>
          <w:szCs w:val="22"/>
        </w:rPr>
        <w:t xml:space="preserve">Data Layer</w:t>
      </w:r>
      <w:r>
        <w:rPr>
          <w:rFonts w:ascii="Arial" w:cs="Arial" w:eastAsia="Arial" w:hAnsi="Arial"/>
          <w:color w:val="1F2937"/>
          <w:sz w:val="22"/>
          <w:szCs w:val="22"/>
        </w:rPr>
        <w:t xml:space="preserve"> — SQLite (demo) / PostgreSQL (production), Redis cache, S3 asset storage</w:t>
      </w:r>
    </w:p>
    <w:p>
      <w:pPr>
        <w:pBdr>
          <w:left w:val="single" w:color="D0D7DE" w:sz="4" w:space="8"/>
        </w:pBdr>
        <w:spacing w:after="0" w:before="80" w:line="240"/>
        <w:ind w:left="360"/>
      </w:pPr>
      <w:r>
        <w:rPr>
          <w:rFonts w:ascii="Courier New" w:cs="Courier New" w:eastAsia="Courier New" w:hAnsi="Courier New"/>
          <w:color w:val="1F2937"/>
          <w:sz w:val="18"/>
          <w:szCs w:val="18"/>
        </w:rPr>
        <w:t xml:space="preserve"># Example: Core Rule Engine snippet (simplified)</w:t>
      </w:r>
    </w:p>
    <w:p>
      <w:pPr>
        <w:pBdr>
          <w:left w:val="single" w:color="D0D7DE" w:sz="4" w:space="8"/>
        </w:pBdr>
        <w:spacing w:after="0" w:before="0" w:line="240"/>
        <w:ind w:left="360"/>
      </w:pPr>
      <w:r>
        <w:rPr>
          <w:rFonts w:ascii="Courier New" w:cs="Courier New" w:eastAsia="Courier New" w:hAnsi="Courier New"/>
          <w:color w:val="1F2937"/>
          <w:sz w:val="18"/>
          <w:szCs w:val="18"/>
        </w:rPr>
        <w:t xml:space="preserve">def award_rounds(customer_id: str, transaction: dict) -&gt; int:</w:t>
      </w:r>
    </w:p>
    <w:p>
      <w:pPr>
        <w:pBdr>
          <w:left w:val="single" w:color="D0D7DE" w:sz="4" w:space="8"/>
        </w:pBdr>
        <w:spacing w:after="0" w:before="0" w:line="240"/>
        <w:ind w:left="360"/>
      </w:pPr>
      <w:r>
        <w:rPr>
          <w:rFonts w:ascii="Courier New" w:cs="Courier New" w:eastAsia="Courier New" w:hAnsi="Courier New"/>
          <w:color w:val="1F2937"/>
          <w:sz w:val="18"/>
          <w:szCs w:val="18"/>
        </w:rPr>
        <w:t xml:space="preserve">    """Award game rounds based on transaction type and amount."""</w:t>
      </w:r>
    </w:p>
    <w:p>
      <w:pPr>
        <w:pBdr>
          <w:left w:val="single" w:color="D0D7DE" w:sz="4" w:space="8"/>
        </w:pBdr>
        <w:spacing w:after="0" w:before="0" w:line="240"/>
        <w:ind w:left="360"/>
      </w:pPr>
      <w:r>
        <w:rPr>
          <w:rFonts w:ascii="Courier New" w:cs="Courier New" w:eastAsia="Courier New" w:hAnsi="Courier New"/>
          <w:color w:val="1F2937"/>
          <w:sz w:val="18"/>
          <w:szCs w:val="18"/>
        </w:rPr>
        <w:t xml:space="preserve">    if transaction.type == "FD_OPEN" and transaction.amount &gt;= 5_000_000:</w:t>
      </w:r>
    </w:p>
    <w:p>
      <w:pPr>
        <w:pBdr>
          <w:left w:val="single" w:color="D0D7DE" w:sz="4" w:space="8"/>
        </w:pBdr>
        <w:spacing w:after="0" w:before="0" w:line="240"/>
        <w:ind w:left="360"/>
      </w:pPr>
      <w:r>
        <w:rPr>
          <w:rFonts w:ascii="Courier New" w:cs="Courier New" w:eastAsia="Courier New" w:hAnsi="Courier New"/>
          <w:color w:val="1F2937"/>
          <w:sz w:val="18"/>
          <w:szCs w:val="18"/>
        </w:rPr>
        <w:t xml:space="preserve">        return min(50, transaction.amount // 5_000_000 * 2)  # 2 rounds per 5M, max 50</w:t>
      </w:r>
    </w:p>
    <w:p>
      <w:pPr>
        <w:pBdr>
          <w:left w:val="single" w:color="D0D7DE" w:sz="4" w:space="8"/>
        </w:pBdr>
        <w:spacing w:after="0" w:before="0" w:line="240"/>
        <w:ind w:left="360"/>
      </w:pPr>
      <w:r>
        <w:rPr>
          <w:rFonts w:ascii="Courier New" w:cs="Courier New" w:eastAsia="Courier New" w:hAnsi="Courier New"/>
          <w:color w:val="1F2937"/>
          <w:sz w:val="18"/>
          <w:szCs w:val="18"/>
        </w:rPr>
        <w:t xml:space="preserve">    if transaction.type == "QR_PAYMENT" and transaction.amount &gt;= 100_000:</w:t>
      </w:r>
    </w:p>
    <w:p>
      <w:pPr>
        <w:pBdr>
          <w:left w:val="single" w:color="D0D7DE" w:sz="4" w:space="8"/>
        </w:pBdr>
        <w:spacing w:after="0" w:before="0" w:line="240"/>
        <w:ind w:left="360"/>
      </w:pPr>
      <w:r>
        <w:rPr>
          <w:rFonts w:ascii="Courier New" w:cs="Courier New" w:eastAsia="Courier New" w:hAnsi="Courier New"/>
          <w:color w:val="1F2937"/>
          <w:sz w:val="18"/>
          <w:szCs w:val="18"/>
        </w:rPr>
        <w:t xml:space="preserve">        return 1  # 1 round per QR payment, max 3/day</w:t>
      </w:r>
    </w:p>
    <w:p>
      <w:pPr>
        <w:pBdr>
          <w:left w:val="single" w:color="D0D7DE" w:sz="4" w:space="8"/>
        </w:pBdr>
        <w:spacing w:after="80" w:before="0" w:line="240"/>
        <w:ind w:left="360"/>
      </w:pPr>
      <w:r>
        <w:rPr>
          <w:rFonts w:ascii="Courier New" w:cs="Courier New" w:eastAsia="Courier New" w:hAnsi="Courier New"/>
          <w:color w:val="1F2937"/>
          <w:sz w:val="18"/>
          <w:szCs w:val="18"/>
        </w:rPr>
        <w:t xml:space="preserve">    return 0</w:t>
      </w:r>
    </w:p>
    <w:p>
      <w:pPr>
        <w:pBdr>
          <w:left w:val="single" w:color="0F9D9D" w:sz="6" w:space="8"/>
        </w:pBdr>
        <w:spacing w:after="80" w:before="80"/>
        <w:ind w:left="360"/>
      </w:pPr>
      <w:r>
        <w:rPr>
          <w:rFonts w:ascii="Arial" w:cs="Arial" w:eastAsia="Arial" w:hAnsi="Arial"/>
          <w:i/>
          <w:iCs/>
          <w:color w:val="6B7280"/>
          <w:sz w:val="22"/>
          <w:szCs w:val="22"/>
        </w:rPr>
        <w:t xml:space="preserve">**Nguyên tắc thiết kế:** Atomic prize pool decrement qua Redis INCR/DECR hoặc Postgres row-lock, đảm bảo zero double-spending ngay cả khi có traffic spike cao điểm Tết.</w:t>
      </w:r>
    </w:p>
    <w:p>
      <w:pPr>
        <w:pStyle w:val="Heading2"/>
        <w:spacing w:after="160" w:before="320"/>
      </w:pPr>
      <w:r>
        <w:rPr>
          <w:rFonts w:ascii="Arial" w:cs="Arial" w:eastAsia="Arial" w:hAnsi="Arial"/>
          <w:b/>
          <w:bCs/>
          <w:color w:val="16213E"/>
          <w:sz w:val="28"/>
          <w:szCs w:val="28"/>
        </w:rPr>
        <w:t xml:space="preserve">4.4. Integration Points</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59"/>
        <w:gridCol w:w="2834"/>
        <w:gridCol w:w="2835"/>
      </w:tblGrid>
      <w:tr>
        <w:trPr>
          <w:tblHeader/>
        </w:trPr>
        <w:tc>
          <w:tcPr>
            <w:tcW w:type="dxa" w:w="3259"/>
            <w:tcBorders>
              <w:top w:val="single" w:color="D0D7DE" w:sz="1"/>
              <w:left w:val="single" w:color="D0D7DE" w:sz="1"/>
              <w:bottom w:val="single" w:color="D0D7DE" w:sz="1"/>
              <w:right w:val="single" w:color="D0D7DE" w:sz="1"/>
            </w:tcBorders>
            <w:shd w:fill="E8F0FE"/>
          </w:tcPr>
          <w:p>
            <w:pPr>
              <w:spacing w:after="60" w:before="60"/>
            </w:pPr>
            <w:r>
              <w:rPr>
                <w:rFonts w:ascii="Arial" w:cs="Arial" w:eastAsia="Arial" w:hAnsi="Arial"/>
                <w:b/>
                <w:bCs/>
                <w:color w:val="1A1A2E"/>
                <w:sz w:val="22"/>
                <w:szCs w:val="22"/>
              </w:rPr>
              <w:t xml:space="preserve">Hệ thống MSB</w:t>
            </w:r>
          </w:p>
        </w:tc>
        <w:tc>
          <w:tcPr>
            <w:tcW w:type="dxa" w:w="2834"/>
            <w:tcBorders>
              <w:top w:val="single" w:color="D0D7DE" w:sz="1"/>
              <w:left w:val="single" w:color="D0D7DE" w:sz="1"/>
              <w:bottom w:val="single" w:color="D0D7DE" w:sz="1"/>
              <w:right w:val="single" w:color="D0D7DE" w:sz="1"/>
            </w:tcBorders>
            <w:shd w:fill="E8F0FE"/>
          </w:tcPr>
          <w:p>
            <w:pPr>
              <w:spacing w:after="60" w:before="60"/>
            </w:pPr>
            <w:r>
              <w:rPr>
                <w:rFonts w:ascii="Arial" w:cs="Arial" w:eastAsia="Arial" w:hAnsi="Arial"/>
                <w:b/>
                <w:bCs/>
                <w:color w:val="1A1A2E"/>
                <w:sz w:val="22"/>
                <w:szCs w:val="22"/>
              </w:rPr>
              <w:t xml:space="preserve">Protocol</w:t>
            </w:r>
          </w:p>
        </w:tc>
        <w:tc>
          <w:tcPr>
            <w:tcW w:type="dxa" w:w="2835"/>
            <w:tcBorders>
              <w:top w:val="single" w:color="D0D7DE" w:sz="1"/>
              <w:left w:val="single" w:color="D0D7DE" w:sz="1"/>
              <w:bottom w:val="single" w:color="D0D7DE" w:sz="1"/>
              <w:right w:val="single" w:color="D0D7DE" w:sz="1"/>
            </w:tcBorders>
            <w:shd w:fill="E8F0FE"/>
          </w:tcPr>
          <w:p>
            <w:pPr>
              <w:spacing w:after="60" w:before="60"/>
            </w:pPr>
            <w:r>
              <w:rPr>
                <w:rFonts w:ascii="Arial" w:cs="Arial" w:eastAsia="Arial" w:hAnsi="Arial"/>
                <w:b/>
                <w:bCs/>
                <w:color w:val="1A1A2E"/>
                <w:sz w:val="22"/>
                <w:szCs w:val="22"/>
              </w:rPr>
              <w:t xml:space="preserve">Mục đích</w:t>
            </w:r>
          </w:p>
        </w:tc>
      </w:tr>
      <w:tr>
        <w:tc>
          <w:tcPr>
            <w:tcW w:type="dxa" w:w="3259"/>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Payment Service</w:t>
            </w:r>
          </w:p>
        </w:tc>
        <w:tc>
          <w:tcPr>
            <w:tcW w:type="dxa" w:w="2834"/>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REST + Webhook</w:t>
            </w:r>
          </w:p>
        </w:tc>
        <w:tc>
          <w:tcPr>
            <w:tcW w:type="dxa" w:w="2835"/>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Validate giao dịch QR, bill, chuyển tiền</w:t>
            </w:r>
          </w:p>
        </w:tc>
      </w:tr>
      <w:tr>
        <w:tc>
          <w:tcPr>
            <w:tcW w:type="dxa" w:w="3259"/>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Wealth Service</w:t>
            </w:r>
          </w:p>
        </w:tc>
        <w:tc>
          <w:tcPr>
            <w:tcW w:type="dxa" w:w="2834"/>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REST</w:t>
            </w:r>
          </w:p>
        </w:tc>
        <w:tc>
          <w:tcPr>
            <w:tcW w:type="dxa" w:w="2835"/>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Validate FD, CCTG, M-Sinh lời</w:t>
            </w:r>
          </w:p>
        </w:tc>
      </w:tr>
      <w:tr>
        <w:tc>
          <w:tcPr>
            <w:tcW w:type="dxa" w:w="3259"/>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Card / USL Service</w:t>
            </w:r>
          </w:p>
        </w:tc>
        <w:tc>
          <w:tcPr>
            <w:tcW w:type="dxa" w:w="2834"/>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REST</w:t>
            </w:r>
          </w:p>
        </w:tc>
        <w:tc>
          <w:tcPr>
            <w:tcW w:type="dxa" w:w="2835"/>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Validate khoản vay, thẻ tín dụng</w:t>
            </w:r>
          </w:p>
        </w:tc>
      </w:tr>
      <w:tr>
        <w:tc>
          <w:tcPr>
            <w:tcW w:type="dxa" w:w="3259"/>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Account Service</w:t>
            </w:r>
          </w:p>
        </w:tc>
        <w:tc>
          <w:tcPr>
            <w:tcW w:type="dxa" w:w="2834"/>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REST</w:t>
            </w:r>
          </w:p>
        </w:tc>
        <w:tc>
          <w:tcPr>
            <w:tcW w:type="dxa" w:w="2835"/>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Lấy thông tin KYC, KH status</w:t>
            </w:r>
          </w:p>
        </w:tc>
      </w:tr>
      <w:tr>
        <w:tc>
          <w:tcPr>
            <w:tcW w:type="dxa" w:w="3259"/>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Notification Service</w:t>
            </w:r>
          </w:p>
        </w:tc>
        <w:tc>
          <w:tcPr>
            <w:tcW w:type="dxa" w:w="2834"/>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Message Queue (Kafka)</w:t>
            </w:r>
          </w:p>
        </w:tc>
        <w:tc>
          <w:tcPr>
            <w:tcW w:type="dxa" w:w="2835"/>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Push thông báo trúng giải</w:t>
            </w:r>
          </w:p>
        </w:tc>
      </w:tr>
      <w:tr>
        <w:tc>
          <w:tcPr>
            <w:tcW w:type="dxa" w:w="3259"/>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Data Warehouse</w:t>
            </w:r>
          </w:p>
        </w:tc>
        <w:tc>
          <w:tcPr>
            <w:tcW w:type="dxa" w:w="2834"/>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Batch export (daily)</w:t>
            </w:r>
          </w:p>
        </w:tc>
        <w:tc>
          <w:tcPr>
            <w:tcW w:type="dxa" w:w="2835"/>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Audit log, báo cáo compliance</w:t>
            </w:r>
          </w:p>
        </w:tc>
      </w:tr>
    </w:tbl>
    <w:p>
      <w:pPr>
        <w:spacing w:after="120"/>
      </w:pPr>
    </w:p>
    <w:p>
      <w:r>
        <w:br w:type="page"/>
      </w:r>
    </w:p>
    <w:p>
      <w:pPr>
        <w:pStyle w:val="Heading1"/>
        <w:pBdr>
          <w:bottom w:val="single" w:color="1A1A2E" w:sz="2" w:space="4"/>
        </w:pBdr>
        <w:spacing w:after="200" w:before="400"/>
      </w:pPr>
      <w:r>
        <w:rPr>
          <w:rFonts w:ascii="Arial" w:cs="Arial" w:eastAsia="Arial" w:hAnsi="Arial"/>
          <w:b/>
          <w:bCs/>
          <w:color w:val="1A1A2E"/>
          <w:sz w:val="36"/>
          <w:szCs w:val="36"/>
        </w:rPr>
        <w:t xml:space="preserve">5. Các bên Liên quan &amp; Rủi ro</w:t>
      </w:r>
      <w:r>
        <w:rPr>
          <w:rFonts w:ascii="Arial" w:cs="Arial" w:eastAsia="Arial" w:hAnsi="Arial"/>
          <w:i/>
          <w:iCs/>
          <w:color w:val="6B7280"/>
          <w:sz w:val="30"/>
          <w:szCs w:val="30"/>
        </w:rPr>
        <w:t xml:space="preserve">  —  Stakeholders &amp; Risks</w:t>
      </w:r>
    </w:p>
    <w:p>
      <w:pPr>
        <w:pStyle w:val="Heading2"/>
        <w:spacing w:after="160" w:before="320"/>
      </w:pPr>
      <w:r>
        <w:rPr>
          <w:rFonts w:ascii="Arial" w:cs="Arial" w:eastAsia="Arial" w:hAnsi="Arial"/>
          <w:b/>
          <w:bCs/>
          <w:color w:val="16213E"/>
          <w:sz w:val="28"/>
          <w:szCs w:val="28"/>
        </w:rPr>
        <w:t xml:space="preserve">5.1. Các bên Liên quan</w:t>
      </w:r>
      <w:r>
        <w:rPr>
          <w:rFonts w:ascii="Arial" w:cs="Arial" w:eastAsia="Arial" w:hAnsi="Arial"/>
          <w:i/>
          <w:iCs/>
          <w:color w:val="6B7280"/>
          <w:sz w:val="22"/>
          <w:szCs w:val="22"/>
        </w:rPr>
        <w:t xml:space="preserve">  —  Stakeholders</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6"/>
        <w:gridCol w:w="2927"/>
        <w:gridCol w:w="2635"/>
      </w:tblGrid>
      <w:tr>
        <w:trPr>
          <w:tblHeader/>
        </w:trPr>
        <w:tc>
          <w:tcPr>
            <w:tcW w:type="dxa" w:w="3366"/>
            <w:tcBorders>
              <w:top w:val="single" w:color="D0D7DE" w:sz="1"/>
              <w:left w:val="single" w:color="D0D7DE" w:sz="1"/>
              <w:bottom w:val="single" w:color="D0D7DE" w:sz="1"/>
              <w:right w:val="single" w:color="D0D7DE" w:sz="1"/>
            </w:tcBorders>
            <w:shd w:fill="E8F0FE"/>
          </w:tcPr>
          <w:p>
            <w:pPr>
              <w:spacing w:after="60" w:before="60"/>
            </w:pPr>
            <w:r>
              <w:rPr>
                <w:rFonts w:ascii="Arial" w:cs="Arial" w:eastAsia="Arial" w:hAnsi="Arial"/>
                <w:b/>
                <w:bCs/>
                <w:color w:val="1A1A2E"/>
                <w:sz w:val="22"/>
                <w:szCs w:val="22"/>
              </w:rPr>
              <w:t xml:space="preserve">Stakeholder</w:t>
            </w:r>
          </w:p>
        </w:tc>
        <w:tc>
          <w:tcPr>
            <w:tcW w:type="dxa" w:w="2927"/>
            <w:tcBorders>
              <w:top w:val="single" w:color="D0D7DE" w:sz="1"/>
              <w:left w:val="single" w:color="D0D7DE" w:sz="1"/>
              <w:bottom w:val="single" w:color="D0D7DE" w:sz="1"/>
              <w:right w:val="single" w:color="D0D7DE" w:sz="1"/>
            </w:tcBorders>
            <w:shd w:fill="E8F0FE"/>
          </w:tcPr>
          <w:p>
            <w:pPr>
              <w:spacing w:after="60" w:before="60"/>
            </w:pPr>
            <w:r>
              <w:rPr>
                <w:rFonts w:ascii="Arial" w:cs="Arial" w:eastAsia="Arial" w:hAnsi="Arial"/>
                <w:b/>
                <w:bCs/>
                <w:color w:val="1A1A2E"/>
                <w:sz w:val="22"/>
                <w:szCs w:val="22"/>
              </w:rPr>
              <w:t xml:space="preserve">Vai trò</w:t>
            </w:r>
          </w:p>
        </w:tc>
        <w:tc>
          <w:tcPr>
            <w:tcW w:type="dxa" w:w="2635"/>
            <w:tcBorders>
              <w:top w:val="single" w:color="D0D7DE" w:sz="1"/>
              <w:left w:val="single" w:color="D0D7DE" w:sz="1"/>
              <w:bottom w:val="single" w:color="D0D7DE" w:sz="1"/>
              <w:right w:val="single" w:color="D0D7DE" w:sz="1"/>
            </w:tcBorders>
            <w:shd w:fill="E8F0FE"/>
          </w:tcPr>
          <w:p>
            <w:pPr>
              <w:spacing w:after="60" w:before="60"/>
            </w:pPr>
            <w:r>
              <w:rPr>
                <w:rFonts w:ascii="Arial" w:cs="Arial" w:eastAsia="Arial" w:hAnsi="Arial"/>
                <w:b/>
                <w:bCs/>
                <w:color w:val="1A1A2E"/>
                <w:sz w:val="22"/>
                <w:szCs w:val="22"/>
              </w:rPr>
              <w:t xml:space="preserve">RACI</w:t>
            </w:r>
          </w:p>
        </w:tc>
      </w:tr>
      <w:tr>
        <w:tc>
          <w:tcPr>
            <w:tcW w:type="dxa" w:w="3366"/>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MSB Digital Banking Department</w:t>
            </w:r>
          </w:p>
        </w:tc>
        <w:tc>
          <w:tcPr>
            <w:tcW w:type="dxa" w:w="2927"/>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Chủ sở hữu sản phẩm (*product owner*)</w:t>
            </w:r>
          </w:p>
        </w:tc>
        <w:tc>
          <w:tcPr>
            <w:tcW w:type="dxa" w:w="2635"/>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A</w:t>
            </w:r>
          </w:p>
        </w:tc>
      </w:tr>
      <w:tr>
        <w:tc>
          <w:tcPr>
            <w:tcW w:type="dxa" w:w="3366"/>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MSB CTO Office</w:t>
            </w:r>
          </w:p>
        </w:tc>
        <w:tc>
          <w:tcPr>
            <w:tcW w:type="dxa" w:w="2927"/>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Phê duyệt kỹ thuật, review security</w:t>
            </w:r>
          </w:p>
        </w:tc>
        <w:tc>
          <w:tcPr>
            <w:tcW w:type="dxa" w:w="2635"/>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A</w:t>
            </w:r>
          </w:p>
        </w:tc>
      </w:tr>
      <w:tr>
        <w:tc>
          <w:tcPr>
            <w:tcW w:type="dxa" w:w="3366"/>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MSB Marketing</w:t>
            </w:r>
          </w:p>
        </w:tc>
        <w:tc>
          <w:tcPr>
            <w:tcW w:type="dxa" w:w="2927"/>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Chủ sở hữu chiến dịch truyền thông</w:t>
            </w:r>
          </w:p>
        </w:tc>
        <w:tc>
          <w:tcPr>
            <w:tcW w:type="dxa" w:w="2635"/>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C</w:t>
            </w:r>
          </w:p>
        </w:tc>
      </w:tr>
      <w:tr>
        <w:tc>
          <w:tcPr>
            <w:tcW w:type="dxa" w:w="3366"/>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MSB Legal &amp; Compliance</w:t>
            </w:r>
          </w:p>
        </w:tc>
        <w:tc>
          <w:tcPr>
            <w:tcW w:type="dxa" w:w="2927"/>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Đảm bảo tuân thủ Thông tư 09/2020/TT-NHNN</w:t>
            </w:r>
          </w:p>
        </w:tc>
        <w:tc>
          <w:tcPr>
            <w:tcW w:type="dxa" w:w="2635"/>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C</w:t>
            </w:r>
          </w:p>
        </w:tc>
      </w:tr>
      <w:tr>
        <w:tc>
          <w:tcPr>
            <w:tcW w:type="dxa" w:w="3366"/>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Alphaway Project Manager</w:t>
            </w:r>
          </w:p>
        </w:tc>
        <w:tc>
          <w:tcPr>
            <w:tcW w:type="dxa" w:w="2927"/>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Quản lý dự án end-to-end</w:t>
            </w:r>
          </w:p>
        </w:tc>
        <w:tc>
          <w:tcPr>
            <w:tcW w:type="dxa" w:w="2635"/>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R</w:t>
            </w:r>
          </w:p>
        </w:tc>
      </w:tr>
      <w:tr>
        <w:tc>
          <w:tcPr>
            <w:tcW w:type="dxa" w:w="3366"/>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Alphaway Solution Architect</w:t>
            </w:r>
          </w:p>
        </w:tc>
        <w:tc>
          <w:tcPr>
            <w:tcW w:type="dxa" w:w="2927"/>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Thiết kế kiến trúc, review code</w:t>
            </w:r>
          </w:p>
        </w:tc>
        <w:tc>
          <w:tcPr>
            <w:tcW w:type="dxa" w:w="2635"/>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R</w:t>
            </w:r>
          </w:p>
        </w:tc>
      </w:tr>
      <w:tr>
        <w:tc>
          <w:tcPr>
            <w:tcW w:type="dxa" w:w="3366"/>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Alphaway Dev Team</w:t>
            </w:r>
          </w:p>
        </w:tc>
        <w:tc>
          <w:tcPr>
            <w:tcW w:type="dxa" w:w="2927"/>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Phát triển backend + frontend + game</w:t>
            </w:r>
          </w:p>
        </w:tc>
        <w:tc>
          <w:tcPr>
            <w:tcW w:type="dxa" w:w="2635"/>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R</w:t>
            </w:r>
          </w:p>
        </w:tc>
      </w:tr>
      <w:tr>
        <w:tc>
          <w:tcPr>
            <w:tcW w:type="dxa" w:w="3366"/>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Alphaway QA Team</w:t>
            </w:r>
          </w:p>
        </w:tc>
        <w:tc>
          <w:tcPr>
            <w:tcW w:type="dxa" w:w="2927"/>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Kiểm thử + UAT</w:t>
            </w:r>
          </w:p>
        </w:tc>
        <w:tc>
          <w:tcPr>
            <w:tcW w:type="dxa" w:w="2635"/>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R</w:t>
            </w:r>
          </w:p>
        </w:tc>
      </w:tr>
      <w:tr>
        <w:tc>
          <w:tcPr>
            <w:tcW w:type="dxa" w:w="3366"/>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MSB End Customers</w:t>
            </w:r>
          </w:p>
        </w:tc>
        <w:tc>
          <w:tcPr>
            <w:tcW w:type="dxa" w:w="2927"/>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Người dùng cuối (*end users*)</w:t>
            </w:r>
          </w:p>
        </w:tc>
        <w:tc>
          <w:tcPr>
            <w:tcW w:type="dxa" w:w="2635"/>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I</w:t>
            </w:r>
          </w:p>
        </w:tc>
      </w:tr>
      <w:tr>
        <w:tc>
          <w:tcPr>
            <w:tcW w:type="dxa" w:w="3366"/>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SBV (Ngân hàng Nhà nước)</w:t>
            </w:r>
          </w:p>
        </w:tc>
        <w:tc>
          <w:tcPr>
            <w:tcW w:type="dxa" w:w="2927"/>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Cơ quan giám sát</w:t>
            </w:r>
          </w:p>
        </w:tc>
        <w:tc>
          <w:tcPr>
            <w:tcW w:type="dxa" w:w="2635"/>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I</w:t>
            </w:r>
          </w:p>
        </w:tc>
      </w:tr>
    </w:tbl>
    <w:p>
      <w:pPr>
        <w:spacing w:after="120"/>
      </w:pPr>
    </w:p>
    <w:p>
      <w:pPr>
        <w:pBdr>
          <w:left w:val="single" w:color="0F9D9D" w:sz="6" w:space="8"/>
        </w:pBdr>
        <w:spacing w:after="80" w:before="80"/>
        <w:ind w:left="360"/>
      </w:pPr>
      <w:r>
        <w:rPr>
          <w:rFonts w:ascii="Arial" w:cs="Arial" w:eastAsia="Arial" w:hAnsi="Arial"/>
          <w:i/>
          <w:iCs/>
          <w:color w:val="6B7280"/>
          <w:sz w:val="22"/>
          <w:szCs w:val="22"/>
        </w:rPr>
        <w:t xml:space="preserve">*RACI: **R**esponsible — người làm, **A**ccountable — người chịu trách nhiệm cuối, **C**onsulted — tham vấn, **I**nformed — được thông báo.*</w:t>
      </w:r>
    </w:p>
    <w:p>
      <w:pPr>
        <w:pStyle w:val="Heading2"/>
        <w:spacing w:after="160" w:before="320"/>
      </w:pPr>
      <w:r>
        <w:rPr>
          <w:rFonts w:ascii="Arial" w:cs="Arial" w:eastAsia="Arial" w:hAnsi="Arial"/>
          <w:b/>
          <w:bCs/>
          <w:color w:val="16213E"/>
          <w:sz w:val="28"/>
          <w:szCs w:val="28"/>
        </w:rPr>
        <w:t xml:space="preserve">5.2. Bản đồ Rủi ro</w:t>
      </w:r>
      <w:r>
        <w:rPr>
          <w:rFonts w:ascii="Arial" w:cs="Arial" w:eastAsia="Arial" w:hAnsi="Arial"/>
          <w:i/>
          <w:iCs/>
          <w:color w:val="6B7280"/>
          <w:sz w:val="22"/>
          <w:szCs w:val="22"/>
        </w:rPr>
        <w:t xml:space="preserve">  —  Risk Register (High-Level)</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5"/>
        <w:gridCol w:w="1750"/>
        <w:gridCol w:w="1750"/>
        <w:gridCol w:w="1750"/>
        <w:gridCol w:w="3153"/>
      </w:tblGrid>
      <w:tr>
        <w:trPr>
          <w:tblHeader/>
        </w:trPr>
        <w:tc>
          <w:tcPr>
            <w:tcW w:type="dxa" w:w="525"/>
            <w:tcBorders>
              <w:top w:val="single" w:color="D0D7DE" w:sz="1"/>
              <w:left w:val="single" w:color="D0D7DE" w:sz="1"/>
              <w:bottom w:val="single" w:color="D0D7DE" w:sz="1"/>
              <w:right w:val="single" w:color="D0D7DE" w:sz="1"/>
            </w:tcBorders>
            <w:shd w:fill="E8F0FE"/>
          </w:tcPr>
          <w:p>
            <w:pPr>
              <w:spacing w:after="60" w:before="60"/>
            </w:pPr>
            <w:r>
              <w:rPr>
                <w:rFonts w:ascii="Arial" w:cs="Arial" w:eastAsia="Arial" w:hAnsi="Arial"/>
                <w:b/>
                <w:bCs/>
                <w:color w:val="1A1A2E"/>
                <w:sz w:val="22"/>
                <w:szCs w:val="22"/>
              </w:rPr>
              <w:t xml:space="preserve">#</w:t>
            </w:r>
          </w:p>
        </w:tc>
        <w:tc>
          <w:tcPr>
            <w:tcW w:type="dxa" w:w="1750"/>
            <w:tcBorders>
              <w:top w:val="single" w:color="D0D7DE" w:sz="1"/>
              <w:left w:val="single" w:color="D0D7DE" w:sz="1"/>
              <w:bottom w:val="single" w:color="D0D7DE" w:sz="1"/>
              <w:right w:val="single" w:color="D0D7DE" w:sz="1"/>
            </w:tcBorders>
            <w:shd w:fill="E8F0FE"/>
          </w:tcPr>
          <w:p>
            <w:pPr>
              <w:spacing w:after="60" w:before="60"/>
            </w:pPr>
            <w:r>
              <w:rPr>
                <w:rFonts w:ascii="Arial" w:cs="Arial" w:eastAsia="Arial" w:hAnsi="Arial"/>
                <w:b/>
                <w:bCs/>
                <w:color w:val="1A1A2E"/>
                <w:sz w:val="22"/>
                <w:szCs w:val="22"/>
              </w:rPr>
              <w:t xml:space="preserve">Rủi ro</w:t>
            </w:r>
          </w:p>
        </w:tc>
        <w:tc>
          <w:tcPr>
            <w:tcW w:type="dxa" w:w="1750"/>
            <w:tcBorders>
              <w:top w:val="single" w:color="D0D7DE" w:sz="1"/>
              <w:left w:val="single" w:color="D0D7DE" w:sz="1"/>
              <w:bottom w:val="single" w:color="D0D7DE" w:sz="1"/>
              <w:right w:val="single" w:color="D0D7DE" w:sz="1"/>
            </w:tcBorders>
            <w:shd w:fill="E8F0FE"/>
          </w:tcPr>
          <w:p>
            <w:pPr>
              <w:spacing w:after="60" w:before="60"/>
            </w:pPr>
            <w:r>
              <w:rPr>
                <w:rFonts w:ascii="Arial" w:cs="Arial" w:eastAsia="Arial" w:hAnsi="Arial"/>
                <w:b/>
                <w:bCs/>
                <w:color w:val="1A1A2E"/>
                <w:sz w:val="22"/>
                <w:szCs w:val="22"/>
              </w:rPr>
              <w:t xml:space="preserve">Xác suất</w:t>
            </w:r>
          </w:p>
        </w:tc>
        <w:tc>
          <w:tcPr>
            <w:tcW w:type="dxa" w:w="1750"/>
            <w:tcBorders>
              <w:top w:val="single" w:color="D0D7DE" w:sz="1"/>
              <w:left w:val="single" w:color="D0D7DE" w:sz="1"/>
              <w:bottom w:val="single" w:color="D0D7DE" w:sz="1"/>
              <w:right w:val="single" w:color="D0D7DE" w:sz="1"/>
            </w:tcBorders>
            <w:shd w:fill="E8F0FE"/>
          </w:tcPr>
          <w:p>
            <w:pPr>
              <w:spacing w:after="60" w:before="60"/>
            </w:pPr>
            <w:r>
              <w:rPr>
                <w:rFonts w:ascii="Arial" w:cs="Arial" w:eastAsia="Arial" w:hAnsi="Arial"/>
                <w:b/>
                <w:bCs/>
                <w:color w:val="1A1A2E"/>
                <w:sz w:val="22"/>
                <w:szCs w:val="22"/>
              </w:rPr>
              <w:t xml:space="preserve">Tác động</w:t>
            </w:r>
          </w:p>
        </w:tc>
        <w:tc>
          <w:tcPr>
            <w:tcW w:type="dxa" w:w="3153"/>
            <w:tcBorders>
              <w:top w:val="single" w:color="D0D7DE" w:sz="1"/>
              <w:left w:val="single" w:color="D0D7DE" w:sz="1"/>
              <w:bottom w:val="single" w:color="D0D7DE" w:sz="1"/>
              <w:right w:val="single" w:color="D0D7DE" w:sz="1"/>
            </w:tcBorders>
            <w:shd w:fill="E8F0FE"/>
          </w:tcPr>
          <w:p>
            <w:pPr>
              <w:spacing w:after="60" w:before="60"/>
            </w:pPr>
            <w:r>
              <w:rPr>
                <w:rFonts w:ascii="Arial" w:cs="Arial" w:eastAsia="Arial" w:hAnsi="Arial"/>
                <w:b/>
                <w:bCs/>
                <w:color w:val="1A1A2E"/>
                <w:sz w:val="22"/>
                <w:szCs w:val="22"/>
              </w:rPr>
              <w:t xml:space="preserve">Biện pháp giảm thiểu</w:t>
            </w:r>
          </w:p>
        </w:tc>
      </w:tr>
      <w:tr>
        <w:tc>
          <w:tcPr>
            <w:tcW w:type="dxa" w:w="525"/>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R-01</w:t>
            </w:r>
          </w:p>
        </w:tc>
        <w:tc>
          <w:tcPr>
            <w:tcW w:type="dxa" w:w="1750"/>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Traffic spike vượt quá capacity đã thiết kế</w:t>
            </w:r>
          </w:p>
        </w:tc>
        <w:tc>
          <w:tcPr>
            <w:tcW w:type="dxa" w:w="1750"/>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M</w:t>
            </w:r>
          </w:p>
        </w:tc>
        <w:tc>
          <w:tcPr>
            <w:tcW w:type="dxa" w:w="1750"/>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H</w:t>
            </w:r>
          </w:p>
        </w:tc>
        <w:tc>
          <w:tcPr>
            <w:tcW w:type="dxa" w:w="3153"/>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Load testing 2x peak, auto-scaling, CDN cho static assets</w:t>
            </w:r>
          </w:p>
        </w:tc>
      </w:tr>
      <w:tr>
        <w:tc>
          <w:tcPr>
            <w:tcW w:type="dxa" w:w="525"/>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R-02</w:t>
            </w:r>
          </w:p>
        </w:tc>
        <w:tc>
          <w:tcPr>
            <w:tcW w:type="dxa" w:w="1750"/>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Fraud / gaming bằng bot farm</w:t>
            </w:r>
          </w:p>
        </w:tc>
        <w:tc>
          <w:tcPr>
            <w:tcW w:type="dxa" w:w="1750"/>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H</w:t>
            </w:r>
          </w:p>
        </w:tc>
        <w:tc>
          <w:tcPr>
            <w:tcW w:type="dxa" w:w="1750"/>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H</w:t>
            </w:r>
          </w:p>
        </w:tc>
        <w:tc>
          <w:tcPr>
            <w:tcW w:type="dxa" w:w="3153"/>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Device fingerprint, rate limit, behavioral detection</w:t>
            </w:r>
          </w:p>
        </w:tc>
      </w:tr>
      <w:tr>
        <w:tc>
          <w:tcPr>
            <w:tcW w:type="dxa" w:w="525"/>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R-03</w:t>
            </w:r>
          </w:p>
        </w:tc>
        <w:tc>
          <w:tcPr>
            <w:tcW w:type="dxa" w:w="1750"/>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Không kịp go-live 01/06/2026</w:t>
            </w:r>
          </w:p>
        </w:tc>
        <w:tc>
          <w:tcPr>
            <w:tcW w:type="dxa" w:w="1750"/>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M</w:t>
            </w:r>
          </w:p>
        </w:tc>
        <w:tc>
          <w:tcPr>
            <w:tcW w:type="dxa" w:w="1750"/>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Critical</w:t>
            </w:r>
          </w:p>
        </w:tc>
        <w:tc>
          <w:tcPr>
            <w:tcW w:type="dxa" w:w="3153"/>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Buffer 2 tuần, critical path tracking, weekly sync</w:t>
            </w:r>
          </w:p>
        </w:tc>
      </w:tr>
      <w:tr>
        <w:tc>
          <w:tcPr>
            <w:tcW w:type="dxa" w:w="525"/>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R-04</w:t>
            </w:r>
          </w:p>
        </w:tc>
        <w:tc>
          <w:tcPr>
            <w:tcW w:type="dxa" w:w="1750"/>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Vỡ compliance Thông tư 09/2020</w:t>
            </w:r>
          </w:p>
        </w:tc>
        <w:tc>
          <w:tcPr>
            <w:tcW w:type="dxa" w:w="1750"/>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L</w:t>
            </w:r>
          </w:p>
        </w:tc>
        <w:tc>
          <w:tcPr>
            <w:tcW w:type="dxa" w:w="1750"/>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Critical</w:t>
            </w:r>
          </w:p>
        </w:tc>
        <w:tc>
          <w:tcPr>
            <w:tcW w:type="dxa" w:w="3153"/>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Security review Week 6, pentest Week 8, DPA với MSB</w:t>
            </w:r>
          </w:p>
        </w:tc>
      </w:tr>
      <w:tr>
        <w:tc>
          <w:tcPr>
            <w:tcW w:type="dxa" w:w="525"/>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R-05</w:t>
            </w:r>
          </w:p>
        </w:tc>
        <w:tc>
          <w:tcPr>
            <w:tcW w:type="dxa" w:w="1750"/>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Integration với MSB microservices chậm / lỗi</w:t>
            </w:r>
          </w:p>
        </w:tc>
        <w:tc>
          <w:tcPr>
            <w:tcW w:type="dxa" w:w="1750"/>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M</w:t>
            </w:r>
          </w:p>
        </w:tc>
        <w:tc>
          <w:tcPr>
            <w:tcW w:type="dxa" w:w="1750"/>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H</w:t>
            </w:r>
          </w:p>
        </w:tc>
        <w:tc>
          <w:tcPr>
            <w:tcW w:type="dxa" w:w="3153"/>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Sandbox environment Week 2, contract testing</w:t>
            </w:r>
          </w:p>
        </w:tc>
      </w:tr>
      <w:tr>
        <w:tc>
          <w:tcPr>
            <w:tcW w:type="dxa" w:w="525"/>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R-06</w:t>
            </w:r>
          </w:p>
        </w:tc>
        <w:tc>
          <w:tcPr>
            <w:tcW w:type="dxa" w:w="1750"/>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Data drift: số giải hiển thị ≠ số giải thực tế</w:t>
            </w:r>
          </w:p>
        </w:tc>
        <w:tc>
          <w:tcPr>
            <w:tcW w:type="dxa" w:w="1750"/>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L</w:t>
            </w:r>
          </w:p>
        </w:tc>
        <w:tc>
          <w:tcPr>
            <w:tcW w:type="dxa" w:w="1750"/>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Critical</w:t>
            </w:r>
          </w:p>
        </w:tc>
        <w:tc>
          <w:tcPr>
            <w:tcW w:type="dxa" w:w="3153"/>
            <w:tcBorders>
              <w:top w:val="single" w:color="D0D7DE" w:sz="1"/>
              <w:left w:val="single" w:color="D0D7DE" w:sz="1"/>
              <w:bottom w:val="single" w:color="D0D7DE" w:sz="1"/>
              <w:right w:val="single" w:color="D0D7DE" w:sz="1"/>
            </w:tcBorders>
            <w:shd w:fill="F6F8FA"/>
          </w:tcPr>
          <w:p>
            <w:pPr>
              <w:spacing w:after="40" w:before="40"/>
            </w:pPr>
            <w:r>
              <w:rPr>
                <w:rFonts w:ascii="Arial" w:cs="Arial" w:eastAsia="Arial" w:hAnsi="Arial"/>
                <w:color w:val="1F2937"/>
                <w:sz w:val="22"/>
                <w:szCs w:val="22"/>
              </w:rPr>
              <w:t xml:space="preserve">Atomic DB operations, daily reconciliation job</w:t>
            </w:r>
          </w:p>
        </w:tc>
      </w:tr>
      <w:tr>
        <w:tc>
          <w:tcPr>
            <w:tcW w:type="dxa" w:w="525"/>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R-07</w:t>
            </w:r>
          </w:p>
        </w:tc>
        <w:tc>
          <w:tcPr>
            <w:tcW w:type="dxa" w:w="1750"/>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Khách hàng khiếu nại giải thưởng</w:t>
            </w:r>
          </w:p>
        </w:tc>
        <w:tc>
          <w:tcPr>
            <w:tcW w:type="dxa" w:w="1750"/>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M</w:t>
            </w:r>
          </w:p>
        </w:tc>
        <w:tc>
          <w:tcPr>
            <w:tcW w:type="dxa" w:w="1750"/>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M</w:t>
            </w:r>
          </w:p>
        </w:tc>
        <w:tc>
          <w:tcPr>
            <w:tcW w:type="dxa" w:w="3153"/>
            <w:tcBorders>
              <w:top w:val="single" w:color="D0D7DE" w:sz="1"/>
              <w:left w:val="single" w:color="D0D7DE" w:sz="1"/>
              <w:bottom w:val="single" w:color="D0D7DE" w:sz="1"/>
              <w:right w:val="single" w:color="D0D7DE" w:sz="1"/>
            </w:tcBorders>
            <w:shd w:fill="FFFFFF"/>
          </w:tcPr>
          <w:p>
            <w:pPr>
              <w:spacing w:after="40" w:before="40"/>
            </w:pPr>
            <w:r>
              <w:rPr>
                <w:rFonts w:ascii="Arial" w:cs="Arial" w:eastAsia="Arial" w:hAnsi="Arial"/>
                <w:color w:val="1F2937"/>
                <w:sz w:val="22"/>
                <w:szCs w:val="22"/>
              </w:rPr>
              <w:t xml:space="preserve">Customer support playbook, SLA rõ ràng 7/14 ngày</w:t>
            </w:r>
          </w:p>
        </w:tc>
      </w:tr>
    </w:tbl>
    <w:p>
      <w:pPr>
        <w:spacing w:after="120"/>
      </w:pPr>
    </w:p>
    <w:p>
      <w:pPr>
        <w:spacing w:after="60" w:before="60" w:line="276"/>
      </w:pPr>
      <w:r>
        <w:rPr>
          <w:rFonts w:ascii="Arial" w:cs="Arial" w:eastAsia="Arial" w:hAnsi="Arial"/>
          <w:b/>
          <w:bCs/>
          <w:color w:val="1F2937"/>
          <w:sz w:val="22"/>
          <w:szCs w:val="22"/>
        </w:rPr>
        <w:t xml:space="preserve">Legend:</w:t>
      </w:r>
      <w:r>
        <w:rPr>
          <w:rFonts w:ascii="Arial" w:cs="Arial" w:eastAsia="Arial" w:hAnsi="Arial"/>
          <w:color w:val="1F2937"/>
          <w:sz w:val="22"/>
          <w:szCs w:val="22"/>
        </w:rPr>
        <w:t xml:space="preserve"> Xác suất (*Probability*): L=Low, M=Medium, H=High. Tác động (*Impact*): L=Low, M=Medium, H=High, Critical=Showstopper.</w:t>
      </w:r>
    </w:p>
    <w:p>
      <w:pPr>
        <w:pStyle w:val="Heading2"/>
        <w:spacing w:after="160" w:before="320"/>
      </w:pPr>
      <w:r>
        <w:rPr>
          <w:rFonts w:ascii="Arial" w:cs="Arial" w:eastAsia="Arial" w:hAnsi="Arial"/>
          <w:b/>
          <w:bCs/>
          <w:color w:val="16213E"/>
          <w:sz w:val="28"/>
          <w:szCs w:val="28"/>
        </w:rPr>
        <w:t xml:space="preserve">5.3. Assumptions</w:t>
      </w:r>
      <w:r>
        <w:rPr>
          <w:rFonts w:ascii="Arial" w:cs="Arial" w:eastAsia="Arial" w:hAnsi="Arial"/>
          <w:i/>
          <w:iCs/>
          <w:color w:val="6B7280"/>
          <w:sz w:val="22"/>
          <w:szCs w:val="22"/>
        </w:rPr>
        <w:t xml:space="preserve">  —  Các giả định</w:t>
      </w:r>
    </w:p>
    <w:p>
      <w:pPr>
        <w:spacing w:after="40" w:before="40"/>
        <w:ind w:left="360"/>
      </w:pPr>
      <w:r>
        <w:rPr>
          <w:rFonts w:ascii="Arial" w:cs="Arial" w:eastAsia="Arial" w:hAnsi="Arial"/>
          <w:b/>
          <w:bCs/>
          <w:color w:val="1A1A2E"/>
          <w:sz w:val="22"/>
          <w:szCs w:val="22"/>
        </w:rPr>
        <w:t xml:space="preserve">1. </w:t>
      </w:r>
      <w:r>
        <w:rPr>
          <w:rFonts w:ascii="Arial" w:cs="Arial" w:eastAsia="Arial" w:hAnsi="Arial"/>
          <w:color w:val="1F2937"/>
          <w:sz w:val="22"/>
          <w:szCs w:val="22"/>
        </w:rPr>
        <w:t xml:space="preserve">MSB cung cấp đầy đủ API sandbox trước Week 2</w:t>
      </w:r>
    </w:p>
    <w:p>
      <w:pPr>
        <w:spacing w:after="40" w:before="40"/>
        <w:ind w:left="360"/>
      </w:pPr>
      <w:r>
        <w:rPr>
          <w:rFonts w:ascii="Arial" w:cs="Arial" w:eastAsia="Arial" w:hAnsi="Arial"/>
          <w:b/>
          <w:bCs/>
          <w:color w:val="1A1A2E"/>
          <w:sz w:val="22"/>
          <w:szCs w:val="22"/>
        </w:rPr>
        <w:t xml:space="preserve">2. </w:t>
      </w:r>
      <w:r>
        <w:rPr>
          <w:rFonts w:ascii="Arial" w:cs="Arial" w:eastAsia="Arial" w:hAnsi="Arial"/>
          <w:color w:val="1F2937"/>
          <w:sz w:val="22"/>
          <w:szCs w:val="22"/>
        </w:rPr>
        <w:t xml:space="preserve">MSB Legal đã phê duyệt thể lệ khuyến mại trước Week 4</w:t>
      </w:r>
    </w:p>
    <w:p>
      <w:pPr>
        <w:spacing w:after="40" w:before="40"/>
        <w:ind w:left="360"/>
      </w:pPr>
      <w:r>
        <w:rPr>
          <w:rFonts w:ascii="Arial" w:cs="Arial" w:eastAsia="Arial" w:hAnsi="Arial"/>
          <w:b/>
          <w:bCs/>
          <w:color w:val="1A1A2E"/>
          <w:sz w:val="22"/>
          <w:szCs w:val="22"/>
        </w:rPr>
        <w:t xml:space="preserve">3. </w:t>
      </w:r>
      <w:r>
        <w:rPr>
          <w:rFonts w:ascii="Arial" w:cs="Arial" w:eastAsia="Arial" w:hAnsi="Arial"/>
          <w:color w:val="1F2937"/>
          <w:sz w:val="22"/>
          <w:szCs w:val="22"/>
        </w:rPr>
        <w:t xml:space="preserve">Không có phát sinh scope change sau Week 6 (lock scope)</w:t>
      </w:r>
    </w:p>
    <w:p>
      <w:pPr>
        <w:spacing w:after="40" w:before="40"/>
        <w:ind w:left="360"/>
      </w:pPr>
      <w:r>
        <w:rPr>
          <w:rFonts w:ascii="Arial" w:cs="Arial" w:eastAsia="Arial" w:hAnsi="Arial"/>
          <w:b/>
          <w:bCs/>
          <w:color w:val="1A1A2E"/>
          <w:sz w:val="22"/>
          <w:szCs w:val="22"/>
        </w:rPr>
        <w:t xml:space="preserve">4. </w:t>
      </w:r>
      <w:r>
        <w:rPr>
          <w:rFonts w:ascii="Arial" w:cs="Arial" w:eastAsia="Arial" w:hAnsi="Arial"/>
          <w:color w:val="1F2937"/>
          <w:sz w:val="22"/>
          <w:szCs w:val="22"/>
        </w:rPr>
        <w:t xml:space="preserve">MSB hỗ trợ testing trên 2 môi trường: SIT + UAT</w:t>
      </w:r>
    </w:p>
    <w:p>
      <w:pPr>
        <w:spacing w:after="40" w:before="40"/>
        <w:ind w:left="360"/>
      </w:pPr>
      <w:r>
        <w:rPr>
          <w:rFonts w:ascii="Arial" w:cs="Arial" w:eastAsia="Arial" w:hAnsi="Arial"/>
          <w:b/>
          <w:bCs/>
          <w:color w:val="1A1A2E"/>
          <w:sz w:val="22"/>
          <w:szCs w:val="22"/>
        </w:rPr>
        <w:t xml:space="preserve">5. </w:t>
      </w:r>
      <w:r>
        <w:rPr>
          <w:rFonts w:ascii="Arial" w:cs="Arial" w:eastAsia="Arial" w:hAnsi="Arial"/>
          <w:color w:val="1F2937"/>
          <w:sz w:val="22"/>
          <w:szCs w:val="22"/>
        </w:rPr>
        <w:t xml:space="preserve">Alphaway có thể sử dụng asset Fluent Emoji (MIT license) cho game visuals</w:t>
      </w:r>
    </w:p>
    <w:sectPr>
      <w:headerReference w:type="default" r:id="rId7"/>
      <w:footerReference w:type="default" r:id="rId8"/>
      <w:type w:val="continuous"/>
      <w:pgSz w:w="11908" w:h="16833" w:orient="portrait"/>
      <w:pgMar w:top="1440"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1" w:space="4"/>
      </w:pBdr>
      <w:tabs>
        <w:tab w:val="right" w:pos="9026"/>
      </w:tabs>
    </w:pPr>
    <w:r>
      <w:rPr>
        <w:rFonts w:ascii="Arial" w:cs="Arial" w:eastAsia="Arial" w:hAnsi="Arial"/>
        <w:color w:val="6B7280"/>
        <w:sz w:val="16"/>
        <w:szCs w:val="16"/>
      </w:rPr>
      <w:t xml:space="preserve">Alphaway Technology — MSB-MEGA-GAME-2026 — SAMPLE</w:t>
    </w:r>
    <w:r>
      <w:rPr>
        <w:rFonts w:ascii="Arial" w:cs="Arial" w:eastAsia="Arial" w:hAnsi="Arial"/>
      </w:rP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2" w:space="4"/>
      </w:pBdr>
      <w:tabs>
        <w:tab w:val="right" w:pos="9026"/>
      </w:tabs>
    </w:pPr>
    <w:r>
      <w:rPr>
        <w:rFonts w:ascii="Arial" w:cs="Arial" w:eastAsia="Arial" w:hAnsi="Arial"/>
        <w:b/>
        <w:bCs/>
        <w:color w:val="1A1A2E"/>
        <w:sz w:val="18"/>
        <w:szCs w:val="18"/>
      </w:rPr>
      <w:t xml:space="preserve">Alphaway Technology</w:t>
    </w:r>
    <w:r>
      <w:rPr>
        <w:rFonts w:ascii="Arial" w:cs="Arial" w:eastAsia="Arial" w:hAnsi="Arial"/>
        <w:color w:val="6B7280"/>
        <w:sz w:val="18"/>
        <w:szCs w:val="18"/>
      </w:rPr>
      <w:t xml:space="preserve">  ×  </w:t>
    </w:r>
    <w:r>
      <w:rPr>
        <w:rFonts w:ascii="Arial" w:cs="Arial" w:eastAsia="Arial" w:hAnsi="Arial"/>
        <w:b/>
        <w:bCs/>
        <w:color w:val="16213E"/>
        <w:sz w:val="18"/>
        <w:szCs w:val="18"/>
      </w:rPr>
      <w:t xml:space="preserve">Maritime Bank Vietnam (MSB)</w:t>
    </w:r>
    <w:r>
      <w:rPr>
        <w:rFonts w:ascii="Arial" w:cs="Arial" w:eastAsia="Arial" w:hAnsi="Arial"/>
        <w:i/>
        <w:iCs/>
        <w:color w:val="6B7280"/>
        <w:sz w:val="16"/>
        <w:szCs w:val="16"/>
      </w:rPr>
      <w:t xml:space="preserve">  |  Đặc tả Khởi tạo Dự án</w:t>
    </w:r>
    <w:r>
      <w:rPr>
        <w:rFonts w:ascii="Arial" w:cs="Arial" w:eastAsia="Arial" w:hAnsi="Arial"/>
      </w:rPr>
      <w:t xml:space="preserve">	</w:t>
    </w:r>
    <w:r>
      <w:rPr>
        <w:rFonts w:ascii="Arial" w:cs="Arial" w:eastAsia="Arial" w:hAnsi="Arial"/>
        <w:i/>
        <w:iCs/>
        <w:color w:val="6B7280"/>
        <w:sz w:val="16"/>
        <w:szCs w:val="16"/>
      </w:rPr>
      <w:t xml:space="preserve">CHARTER-v1.0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 MSB Mega Game 2026</dc:title>
  <dc:subject>CHARTER-v1.0</dc:subject>
  <dc:creator>Alphaway Technology</dc:creator>
  <dc:description>Đặc tả Khởi tạo Dự án / Project Charter for MSB Mega Game 2026</dc:description>
  <cp:lastModifiedBy>Un-named</cp:lastModifiedBy>
  <cp:revision>1</cp:revision>
  <dcterms:created xsi:type="dcterms:W3CDTF">2026-04-17T13:53:21.331Z</dcterms:created>
  <dcterms:modified xsi:type="dcterms:W3CDTF">2026-04-17T13:53:21.331Z</dcterms:modified>
</cp:coreProperties>
</file>

<file path=docProps/custom.xml><?xml version="1.0" encoding="utf-8"?>
<Properties xmlns="http://schemas.openxmlformats.org/officeDocument/2006/custom-properties" xmlns:vt="http://schemas.openxmlformats.org/officeDocument/2006/docPropsVTypes"/>
</file>