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POSTER PRINT REQUEST SYSTEM</w:t>
      </w:r>
    </w:p>
    <w:p>
      <w:pPr>
        <w:jc w:val="center"/>
      </w:pPr>
      <w:r>
        <w:rPr>
          <w:i/>
          <w:sz w:val="22"/>
        </w:rPr>
        <w:t>ROADMAP FINAL — ESPAÑOL</w:t>
      </w:r>
    </w:p>
    <w:p>
      <w:pPr>
        <w:jc w:val="center"/>
      </w:pPr>
      <w:r>
        <w:t>Versión 4.0 · 7 de octubre de 2026</w:t>
      </w:r>
    </w:p>
    <w:p>
      <w:pPr>
        <w:pStyle w:val="Heading1"/>
      </w:pPr>
      <w:r>
        <w:t>1. Propósito y límite del sistema</w:t>
      </w:r>
    </w:p>
    <w:p>
      <w:r>
        <w:t>Principio de experiencia: el frontend y la ayuda visual son parte central del producto. La calidad de la interfaz debe reducir errores, explicar requisitos y dar confianza al usuario antes de enviar el archivo.</w:t>
      </w:r>
    </w:p>
    <w:p>
      <w:r>
        <w:t>La aplicación será un sistema web interno para que estudiantes y staff soliciten la impresión de pósters. Recibe la solicitud, valida automáticamente el archivo, registra la solicitud en SQL Server, almacena los archivos en el directorio compartido y genera un Poster ID. La impresión directa no forma parte del comportamiento operativo normal y permanece DESACTIVADA por defecto. La versión 4.0 autoriza una capacidad experimental de impresión directa, activable explícitamente mediante un checkmark/feature flag, sin sustituir el flujo manual cuando la capacidad está desactivada. La aplicación incorpora además un inventario operativo de consumibles de impresión para técnicos.</w:t>
      </w:r>
    </w:p>
    <w:p>
      <w:r>
        <w:t>Después de una solicitud aceptada, el solicitante recibe el Poster ID y crea manualmente el ticket correspondiente en TDX. El ticket será asignado a un técnico, quien utilizará el Poster ID para localizar los archivos y completar el proceso físico.</w:t>
      </w:r>
    </w:p>
    <w:p>
      <w:pPr>
        <w:pStyle w:val="Heading1"/>
      </w:pPr>
      <w:r>
        <w:t>2. Flujo autorizado</w:t>
      </w:r>
    </w:p>
    <w:p>
      <w:pPr>
        <w:ind w:left="360"/>
      </w:pPr>
      <w:r>
        <w:rPr>
          <w:rFonts w:ascii="Consolas" w:hAnsi="Consolas"/>
          <w:sz w:val="17"/>
        </w:rPr>
        <w:t>Student/Staff → Guías → Formulario/Upload → Preflight → Aceptación → Poster ID + Date In → SQL Server + Directorio compartido → Confirmación → Ticket TDX manual → Técnico → Received → Printed → Laminated si aplica → Notified → Pickup</w:t>
      </w:r>
    </w:p>
    <w:p>
      <w:pPr>
        <w:pStyle w:val="Heading1"/>
      </w:pPr>
      <w:r>
        <w:t>3. Reglas funcionales definitivas</w:t>
      </w:r>
    </w:p>
    <w:tbl>
      <w:tblPr>
        <w:tblStyle w:val="TableGrid"/>
        <w:tblW w:type="auto" w:w="0"/>
        <w:tblLook w:firstColumn="1" w:firstRow="1" w:lastColumn="0" w:lastRow="0" w:noHBand="0" w:noVBand="1" w:val="04A0"/>
      </w:tblPr>
      <w:tblGrid>
        <w:gridCol w:w="5112"/>
        <w:gridCol w:w="5112"/>
      </w:tblGrid>
      <w:tr>
        <w:tc>
          <w:tcPr>
            <w:tcW w:type="dxa" w:w="5112"/>
          </w:tcPr>
          <w:p>
            <w:r>
              <w:rPr>
                <w:b/>
              </w:rPr>
              <w:t>Área</w:t>
            </w:r>
          </w:p>
        </w:tc>
        <w:tc>
          <w:tcPr>
            <w:tcW w:type="dxa" w:w="5112"/>
          </w:tcPr>
          <w:p>
            <w:r>
              <w:rPr>
                <w:b/>
              </w:rPr>
              <w:t>Regla</w:t>
            </w:r>
          </w:p>
        </w:tc>
      </w:tr>
      <w:tr>
        <w:tc>
          <w:tcPr>
            <w:tcW w:type="dxa" w:w="5112"/>
          </w:tcPr>
          <w:p>
            <w:r>
              <w:t>Tecnología</w:t>
            </w:r>
          </w:p>
        </w:tc>
        <w:tc>
          <w:tcPr>
            <w:tcW w:type="dxa" w:w="5112"/>
          </w:tcPr>
          <w:p>
            <w:r>
              <w:t>Blazor, C#, ASP.NET Core y SQL Server.</w:t>
            </w:r>
          </w:p>
        </w:tc>
      </w:tr>
      <w:tr>
        <w:tc>
          <w:tcPr>
            <w:tcW w:type="dxa" w:w="5112"/>
          </w:tcPr>
          <w:p>
            <w:r>
              <w:t>Usuarios</w:t>
            </w:r>
          </w:p>
        </w:tc>
        <w:tc>
          <w:tcPr>
            <w:tcW w:type="dxa" w:w="5112"/>
          </w:tcPr>
          <w:p>
            <w:r>
              <w:t>Students y staff.</w:t>
            </w:r>
          </w:p>
        </w:tc>
      </w:tr>
      <w:tr>
        <w:tc>
          <w:tcPr>
            <w:tcW w:type="dxa" w:w="5112"/>
          </w:tcPr>
          <w:p>
            <w:r>
              <w:t>Poster</w:t>
            </w:r>
          </w:p>
        </w:tc>
        <w:tc>
          <w:tcPr>
            <w:tcW w:type="dxa" w:w="5112"/>
          </w:tcPr>
          <w:p>
            <w:r>
              <w:t>Una sola página/diapositiva.</w:t>
            </w:r>
          </w:p>
        </w:tc>
      </w:tr>
      <w:tr>
        <w:tc>
          <w:tcPr>
            <w:tcW w:type="dxa" w:w="5112"/>
          </w:tcPr>
          <w:p>
            <w:r>
              <w:t>PDF</w:t>
            </w:r>
          </w:p>
        </w:tc>
        <w:tc>
          <w:tcPr>
            <w:tcW w:type="dxa" w:w="5112"/>
          </w:tcPr>
          <w:p>
            <w:r>
              <w:t>Exactamente una página.</w:t>
            </w:r>
          </w:p>
        </w:tc>
      </w:tr>
      <w:tr>
        <w:tc>
          <w:tcPr>
            <w:tcW w:type="dxa" w:w="5112"/>
          </w:tcPr>
          <w:p>
            <w:r>
              <w:t>PowerPoint</w:t>
            </w:r>
          </w:p>
        </w:tc>
        <w:tc>
          <w:tcPr>
            <w:tcW w:type="dxa" w:w="5112"/>
          </w:tcPr>
          <w:p>
            <w:r>
              <w:t>Exactamente una diapositiva.</w:t>
            </w:r>
          </w:p>
        </w:tc>
      </w:tr>
      <w:tr>
        <w:tc>
          <w:tcPr>
            <w:tcW w:type="dxa" w:w="5112"/>
          </w:tcPr>
          <w:p>
            <w:r>
              <w:t>Ancho</w:t>
            </w:r>
          </w:p>
        </w:tc>
        <w:tc>
          <w:tcPr>
            <w:tcW w:type="dxa" w:w="5112"/>
          </w:tcPr>
          <w:p>
            <w:r>
              <w:t>Máximo 36 pulgadas.</w:t>
            </w:r>
          </w:p>
        </w:tc>
      </w:tr>
      <w:tr>
        <w:tc>
          <w:tcPr>
            <w:tcW w:type="dxa" w:w="5112"/>
          </w:tcPr>
          <w:p>
            <w:r>
              <w:t>Ancho recomendado</w:t>
            </w:r>
          </w:p>
        </w:tc>
        <w:tc>
          <w:tcPr>
            <w:tcW w:type="dxa" w:w="5112"/>
          </w:tcPr>
          <w:p>
            <w:r>
              <w:t>36 pulgadas es el ancho habitual y recomendado; no es obligatorio que todos midan exactamente 36 pulgadas.</w:t>
            </w:r>
          </w:p>
        </w:tc>
      </w:tr>
      <w:tr>
        <w:tc>
          <w:tcPr>
            <w:tcW w:type="dxa" w:w="5112"/>
          </w:tcPr>
          <w:p>
            <w:r>
              <w:t>Largo</w:t>
            </w:r>
          </w:p>
        </w:tc>
        <w:tc>
          <w:tcPr>
            <w:tcW w:type="dxa" w:w="5112"/>
          </w:tcPr>
          <w:p>
            <w:r>
              <w:t>Máximo 72 pulgadas.</w:t>
            </w:r>
          </w:p>
        </w:tc>
      </w:tr>
      <w:tr>
        <w:tc>
          <w:tcPr>
            <w:tcW w:type="dxa" w:w="5112"/>
          </w:tcPr>
          <w:p>
            <w:r>
              <w:t>Orientación</w:t>
            </w:r>
          </w:p>
        </w:tc>
        <w:tc>
          <w:tcPr>
            <w:tcW w:type="dxa" w:w="5112"/>
          </w:tcPr>
          <w:p>
            <w:r>
              <w:t>El proceso interno trabaja en vertical. Si el archivo llega horizontal, la aplicación aplica internamente la normalización/autorotate necesaria para evaluar las dimensiones. No es una opción del usuario.</w:t>
            </w:r>
          </w:p>
        </w:tc>
      </w:tr>
      <w:tr>
        <w:tc>
          <w:tcPr>
            <w:tcW w:type="dxa" w:w="5112"/>
          </w:tcPr>
          <w:p>
            <w:r>
              <w:t>Formatos</w:t>
            </w:r>
          </w:p>
        </w:tc>
        <w:tc>
          <w:tcPr>
            <w:tcW w:type="dxa" w:w="5112"/>
          </w:tcPr>
          <w:p>
            <w:r>
              <w:t>PDF y PPTX.</w:t>
            </w:r>
          </w:p>
        </w:tc>
      </w:tr>
      <w:tr>
        <w:tc>
          <w:tcPr>
            <w:tcW w:type="dxa" w:w="5112"/>
          </w:tcPr>
          <w:p>
            <w:r>
              <w:t>Carga</w:t>
            </w:r>
          </w:p>
        </w:tc>
        <w:tc>
          <w:tcPr>
            <w:tcW w:type="dxa" w:w="5112"/>
          </w:tcPr>
          <w:p>
            <w:r>
              <w:t>Drag-and-drop o selección normal.</w:t>
            </w:r>
          </w:p>
        </w:tc>
      </w:tr>
      <w:tr>
        <w:tc>
          <w:tcPr>
            <w:tcW w:type="dxa" w:w="5112"/>
          </w:tcPr>
          <w:p>
            <w:r>
              <w:t>Preflight</w:t>
            </w:r>
          </w:p>
        </w:tc>
        <w:tc>
          <w:tcPr>
            <w:tcW w:type="dxa" w:w="5112"/>
          </w:tcPr>
          <w:p>
            <w:r>
              <w:t>Inspección del contenido real, formato, páginas/diapositivas y dimensiones.</w:t>
            </w:r>
          </w:p>
        </w:tc>
      </w:tr>
      <w:tr>
        <w:tc>
          <w:tcPr>
            <w:tcW w:type="dxa" w:w="5112"/>
          </w:tcPr>
          <w:p>
            <w:r>
              <w:t>TDX</w:t>
            </w:r>
          </w:p>
        </w:tc>
        <w:tc>
          <w:tcPr>
            <w:tcW w:type="dxa" w:w="5112"/>
          </w:tcPr>
          <w:p>
            <w:r>
              <w:t>Sin integración automática.</w:t>
            </w:r>
          </w:p>
        </w:tc>
      </w:tr>
      <w:tr>
        <w:tc>
          <w:tcPr>
            <w:tcW w:type="dxa" w:w="5112"/>
          </w:tcPr>
          <w:p>
            <w:r>
              <w:t>Impresión</w:t>
            </w:r>
          </w:p>
        </w:tc>
        <w:tc>
          <w:tcPr>
            <w:tcW w:type="dxa" w:w="5112"/>
          </w:tcPr>
          <w:p>
            <w:r>
              <w:t>La aplicación no imprime ni controla el plotter.</w:t>
            </w:r>
          </w:p>
        </w:tc>
      </w:tr>
      <w:tr>
        <w:tc>
          <w:tcPr>
            <w:tcW w:type="dxa" w:w="5112"/>
          </w:tcPr>
          <w:p>
            <w:r>
              <w:t>Plazo informado</w:t>
            </w:r>
          </w:p>
        </w:tc>
        <w:tc>
          <w:tcPr>
            <w:tcW w:type="dxa" w:w="5112"/>
          </w:tcPr>
          <w:p>
            <w:r>
              <w:t>Después de aceptar, se informa al usuario que el póster será impreso dentro de las próximas 48 horas.</w:t>
            </w:r>
          </w:p>
        </w:tc>
      </w:tr>
    </w:tbl>
    <w:p>
      <w:pPr>
        <w:pStyle w:val="ListBullet"/>
      </w:pPr>
      <w:r>
        <w:t>Alertas: mostrar al técnico qué consumibles están depleted, bajo el umbral configurado o próximos a vencer cuando exista fecha de expiración.</w:t>
      </w:r>
    </w:p>
    <w:p>
      <w:pPr>
        <w:pStyle w:val="ListBullet"/>
      </w:pPr>
      <w:r>
        <w:t>Laminación: el inventario debe permitir registrar todos los materiales compatibles autorizados para el Eagle 105; el flujo previsto lamina ambas caras. Los materiales registrados inicialmente pueden comenzar con existencia 0 y estado Depleted.</w:t>
      </w:r>
    </w:p>
    <w:p>
      <w:pPr>
        <w:pStyle w:val="ListBullet"/>
      </w:pPr>
      <w:r>
        <w:t>Papel fotográfico autorizado: HP Photo Paper / Photo Paper Gloss C6814A, 36 pulgadas, High Gloss; su tratamiento de expiración debe seguir los datos reales del material cuando se registre.</w:t>
      </w:r>
    </w:p>
    <w:p>
      <w:pPr>
        <w:pStyle w:val="ListBullet"/>
      </w:pPr>
      <w:r>
        <w:t>Papel autorizado: HP Bright White Inkjet Paper C1861A, 36 × 150 ft, 90 g/m², 4.7 mil / 119 microns; no requiere fecha de expiración.</w:t>
      </w:r>
    </w:p>
    <w:p>
      <w:pPr>
        <w:pStyle w:val="ListBullet"/>
      </w:pPr>
      <w:r>
        <w:t>Cartuchos autorizados: MK Matte Black C9403A, PK Photo Black C9370A, B Blue C9371A, M Magenta C9372A, Y Yellow C9373A y G Gray C9374A; capacidad indicada: 130 ml. Los cartuchos requieren fecha de expiración.</w:t>
      </w:r>
    </w:p>
    <w:p>
      <w:pPr/>
      <w:r>
        <w:t>El área de técnicos incorpora un inventario operativo para cartuchos, papel y materiales de laminado. Cada consumible mantiene existencia actual, estado y, cuando corresponda, fecha de expiración. Los umbrales de existencia baja y crítica son configurables por el sistema y se comparan contra la existencia actual.</w:t>
      </w:r>
    </w:p>
    <w:p>
      <w:pPr>
        <w:pStyle w:val="Heading2"/>
      </w:pPr>
      <w:r>
        <w:t>3.1 Nueva capacidad — Inventario de consumibles de impresión</w:t>
      </w:r>
    </w:p>
    <w:p>
      <w:pPr>
        <w:pStyle w:val="Heading1"/>
      </w:pPr>
      <w:r>
        <w:t>4. Experiencia del solicitante</w:t>
      </w:r>
    </w:p>
    <w:p>
      <w:pPr>
        <w:pStyle w:val="Heading2"/>
      </w:pPr>
      <w:r>
        <w:t>4.1 Guías y preparación</w:t>
      </w:r>
    </w:p>
    <w:p>
      <w:pPr>
        <w:pStyle w:val="ListBullet"/>
      </w:pPr>
      <w:r>
        <w:t>Enfatizar 36 pulgadas como ancho normal y recomendado.</w:t>
      </w:r>
    </w:p>
    <w:p>
      <w:pPr>
        <w:pStyle w:val="ListBullet"/>
      </w:pPr>
      <w:r>
        <w:t>Explicar el máximo de 36 pulgadas de ancho y 72 pulgadas de largo.</w:t>
      </w:r>
    </w:p>
    <w:p>
      <w:pPr>
        <w:pStyle w:val="ListBullet"/>
      </w:pPr>
      <w:r>
        <w:t>Mostrar fotografías, ejemplos, videos y plantillas cuando sean útiles.</w:t>
      </w:r>
    </w:p>
    <w:p>
      <w:pPr>
        <w:pStyle w:val="ListBullet"/>
      </w:pPr>
      <w:r>
        <w:t>Incluir la imagen de referencia del preview del plotter como apoyo visual.</w:t>
      </w:r>
    </w:p>
    <w:p>
      <w:pPr>
        <w:pStyle w:val="ListBullet"/>
      </w:pPr>
      <w:r>
        <w:t>Ofrecer alternativa accesible al drag-and-drop.</w:t>
      </w:r>
    </w:p>
    <w:p>
      <w:pPr>
        <w:pStyle w:val="Heading2"/>
      </w:pPr>
      <w:r>
        <w:t>4.2 Formulario</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Campo</w:t>
            </w:r>
          </w:p>
        </w:tc>
        <w:tc>
          <w:tcPr>
            <w:tcW w:type="dxa" w:w="3408"/>
          </w:tcPr>
          <w:p>
            <w:r>
              <w:rPr>
                <w:b/>
              </w:rPr>
              <w:t>Autoridad</w:t>
            </w:r>
          </w:p>
        </w:tc>
        <w:tc>
          <w:tcPr>
            <w:tcW w:type="dxa" w:w="3408"/>
          </w:tcPr>
          <w:p>
            <w:r>
              <w:rPr>
                <w:b/>
              </w:rPr>
              <w:t>Control</w:t>
            </w:r>
          </w:p>
        </w:tc>
      </w:tr>
      <w:tr>
        <w:tc>
          <w:tcPr>
            <w:tcW w:type="dxa" w:w="3408"/>
          </w:tcPr>
          <w:p>
            <w:r>
              <w:t>Nombre</w:t>
            </w:r>
          </w:p>
        </w:tc>
        <w:tc>
          <w:tcPr>
            <w:tcW w:type="dxa" w:w="3408"/>
          </w:tcPr>
          <w:p>
            <w:r>
              <w:t>Student/Staff</w:t>
            </w:r>
          </w:p>
        </w:tc>
        <w:tc>
          <w:tcPr>
            <w:tcW w:type="dxa" w:w="3408"/>
          </w:tcPr>
          <w:p>
            <w:r>
              <w:t>Textbox</w:t>
            </w:r>
          </w:p>
        </w:tc>
      </w:tr>
      <w:tr>
        <w:tc>
          <w:tcPr>
            <w:tcW w:type="dxa" w:w="3408"/>
          </w:tcPr>
          <w:p>
            <w:r>
              <w:t>Mentor</w:t>
            </w:r>
          </w:p>
        </w:tc>
        <w:tc>
          <w:tcPr>
            <w:tcW w:type="dxa" w:w="3408"/>
          </w:tcPr>
          <w:p>
            <w:r>
              <w:t>Student/Staff</w:t>
            </w:r>
          </w:p>
        </w:tc>
        <w:tc>
          <w:tcPr>
            <w:tcW w:type="dxa" w:w="3408"/>
          </w:tcPr>
          <w:p>
            <w:r>
              <w:t>Textbox; obligatorio solamente cuando el evento lo requiera.</w:t>
            </w:r>
          </w:p>
        </w:tc>
      </w:tr>
      <w:tr>
        <w:tc>
          <w:tcPr>
            <w:tcW w:type="dxa" w:w="3408"/>
          </w:tcPr>
          <w:p>
            <w:r>
              <w:t>Department</w:t>
            </w:r>
          </w:p>
        </w:tc>
        <w:tc>
          <w:tcPr>
            <w:tcW w:type="dxa" w:w="3408"/>
          </w:tcPr>
          <w:p>
            <w:r>
              <w:t>Student/Staff</w:t>
            </w:r>
          </w:p>
        </w:tc>
        <w:tc>
          <w:tcPr>
            <w:tcW w:type="dxa" w:w="3408"/>
          </w:tcPr>
          <w:p>
            <w:r>
              <w:t>Dropdown; lista definitiva se cargará posteriormente.</w:t>
            </w:r>
          </w:p>
        </w:tc>
      </w:tr>
      <w:tr>
        <w:tc>
          <w:tcPr>
            <w:tcW w:type="dxa" w:w="3408"/>
          </w:tcPr>
          <w:p>
            <w:r>
              <w:t>Room</w:t>
            </w:r>
          </w:p>
        </w:tc>
        <w:tc>
          <w:tcPr>
            <w:tcW w:type="dxa" w:w="3408"/>
          </w:tcPr>
          <w:p>
            <w:r>
              <w:t>Student/Staff</w:t>
            </w:r>
          </w:p>
        </w:tc>
        <w:tc>
          <w:tcPr>
            <w:tcW w:type="dxa" w:w="3408"/>
          </w:tcPr>
          <w:p>
            <w:r>
              <w:t>Textbox</w:t>
            </w:r>
          </w:p>
        </w:tc>
      </w:tr>
      <w:tr>
        <w:tc>
          <w:tcPr>
            <w:tcW w:type="dxa" w:w="3408"/>
          </w:tcPr>
          <w:p>
            <w:r>
              <w:t>Phone</w:t>
            </w:r>
          </w:p>
        </w:tc>
        <w:tc>
          <w:tcPr>
            <w:tcW w:type="dxa" w:w="3408"/>
          </w:tcPr>
          <w:p>
            <w:r>
              <w:t>Student/Staff</w:t>
            </w:r>
          </w:p>
        </w:tc>
        <w:tc>
          <w:tcPr>
            <w:tcW w:type="dxa" w:w="3408"/>
          </w:tcPr>
          <w:p>
            <w:r>
              <w:t>Textbox</w:t>
            </w:r>
          </w:p>
        </w:tc>
      </w:tr>
      <w:tr>
        <w:tc>
          <w:tcPr>
            <w:tcW w:type="dxa" w:w="3408"/>
          </w:tcPr>
          <w:p>
            <w:r>
              <w:t>Email</w:t>
            </w:r>
          </w:p>
        </w:tc>
        <w:tc>
          <w:tcPr>
            <w:tcW w:type="dxa" w:w="3408"/>
          </w:tcPr>
          <w:p>
            <w:r>
              <w:t>Student/Staff</w:t>
            </w:r>
          </w:p>
        </w:tc>
        <w:tc>
          <w:tcPr>
            <w:tcW w:type="dxa" w:w="3408"/>
          </w:tcPr>
          <w:p>
            <w:r>
              <w:t>Textbox</w:t>
            </w:r>
          </w:p>
        </w:tc>
      </w:tr>
      <w:tr>
        <w:tc>
          <w:tcPr>
            <w:tcW w:type="dxa" w:w="3408"/>
          </w:tcPr>
          <w:p>
            <w:r>
              <w:t>Reason / Event</w:t>
            </w:r>
          </w:p>
        </w:tc>
        <w:tc>
          <w:tcPr>
            <w:tcW w:type="dxa" w:w="3408"/>
          </w:tcPr>
          <w:p>
            <w:r>
              <w:t>Student/Staff</w:t>
            </w:r>
          </w:p>
        </w:tc>
        <w:tc>
          <w:tcPr>
            <w:tcW w:type="dxa" w:w="3408"/>
          </w:tcPr>
          <w:p>
            <w:r>
              <w:t>Dropdown; puede quedar en blanco.</w:t>
            </w:r>
          </w:p>
        </w:tc>
      </w:tr>
      <w:tr>
        <w:tc>
          <w:tcPr>
            <w:tcW w:type="dxa" w:w="3408"/>
          </w:tcPr>
          <w:p>
            <w:r>
              <w:t>Lamination</w:t>
            </w:r>
          </w:p>
        </w:tc>
        <w:tc>
          <w:tcPr>
            <w:tcW w:type="dxa" w:w="3408"/>
          </w:tcPr>
          <w:p>
            <w:r>
              <w:t>Student/Staff</w:t>
            </w:r>
          </w:p>
        </w:tc>
        <w:tc>
          <w:tcPr>
            <w:tcW w:type="dxa" w:w="3408"/>
          </w:tcPr>
          <w:p>
            <w:r>
              <w:t>Checkbox.</w:t>
            </w:r>
          </w:p>
        </w:tc>
      </w:tr>
      <w:tr>
        <w:tc>
          <w:tcPr>
            <w:tcW w:type="dxa" w:w="3408"/>
          </w:tcPr>
          <w:p>
            <w:r>
              <w:t>Poster</w:t>
            </w:r>
          </w:p>
        </w:tc>
        <w:tc>
          <w:tcPr>
            <w:tcW w:type="dxa" w:w="3408"/>
          </w:tcPr>
          <w:p>
            <w:r>
              <w:t>Student/Staff</w:t>
            </w:r>
          </w:p>
        </w:tc>
        <w:tc>
          <w:tcPr>
            <w:tcW w:type="dxa" w:w="3408"/>
          </w:tcPr>
          <w:p>
            <w:r>
              <w:t>Uploader separado; PDF o PPTX.</w:t>
            </w:r>
          </w:p>
        </w:tc>
      </w:tr>
      <w:tr>
        <w:tc>
          <w:tcPr>
            <w:tcW w:type="dxa" w:w="3408"/>
          </w:tcPr>
          <w:p>
            <w:r>
              <w:t>Approval Sheet</w:t>
            </w:r>
          </w:p>
        </w:tc>
        <w:tc>
          <w:tcPr>
            <w:tcW w:type="dxa" w:w="3408"/>
          </w:tcPr>
          <w:p>
            <w:r>
              <w:t>Student/Staff</w:t>
            </w:r>
          </w:p>
        </w:tc>
        <w:tc>
          <w:tcPr>
            <w:tcW w:type="dxa" w:w="3408"/>
          </w:tcPr>
          <w:p>
            <w:r>
              <w:t>Uploader separado; aparece y es obligatorio cuando el evento lo requiera.</w:t>
            </w:r>
          </w:p>
        </w:tc>
      </w:tr>
    </w:tbl>
    <w:p>
      <w:pPr>
        <w:pStyle w:val="Heading2"/>
      </w:pPr>
      <w:r>
        <w:t>4.3 Approval Sheet</w:t>
      </w:r>
    </w:p>
    <w:p>
      <w:r>
        <w:t>El Approval Sheet es un PDF independiente del póster. Su obligatoriedad depende del evento seleccionado.</w:t>
      </w:r>
    </w:p>
    <w:p>
      <w:pPr>
        <w:ind w:left="360"/>
      </w:pPr>
      <w:r>
        <w:rPr>
          <w:rFonts w:ascii="Consolas" w:hAnsi="Consolas"/>
          <w:sz w:val="17"/>
        </w:rPr>
        <w:t>RequiresApprovalSheet = false → no requerido</w:t>
        <w:br/>
        <w:t>RequiresApprovalSheet = true → mostrar uploader → PDF requerido → bloquear continuación hasta validación → ApprovalSheetUploaded = true</w:t>
      </w:r>
    </w:p>
    <w:p>
      <w:r>
        <w:t>ApprovalSheetUploaded es un booleano de la base de datos. El PDF físico se almacena como documento independiente.</w:t>
      </w:r>
    </w:p>
    <w:p>
      <w:pPr>
        <w:pStyle w:val="Heading1"/>
      </w:pPr>
      <w:r>
        <w:t>5. Validación del póster</w:t>
      </w:r>
    </w:p>
    <w:tbl>
      <w:tblPr>
        <w:tblStyle w:val="TableGrid"/>
        <w:tblW w:type="auto" w:w="0"/>
        <w:tblLook w:firstColumn="1" w:firstRow="1" w:lastColumn="0" w:lastRow="0" w:noHBand="0" w:noVBand="1" w:val="04A0"/>
      </w:tblPr>
      <w:tblGrid>
        <w:gridCol w:w="5112"/>
        <w:gridCol w:w="5112"/>
      </w:tblGrid>
      <w:tr>
        <w:tc>
          <w:tcPr>
            <w:tcW w:type="dxa" w:w="5112"/>
          </w:tcPr>
          <w:p>
            <w:r>
              <w:rPr>
                <w:b/>
              </w:rPr>
              <w:t>Validación</w:t>
            </w:r>
          </w:p>
        </w:tc>
        <w:tc>
          <w:tcPr>
            <w:tcW w:type="dxa" w:w="5112"/>
          </w:tcPr>
          <w:p>
            <w:r>
              <w:rPr>
                <w:b/>
              </w:rPr>
              <w:t>Regla</w:t>
            </w:r>
          </w:p>
        </w:tc>
      </w:tr>
      <w:tr>
        <w:tc>
          <w:tcPr>
            <w:tcW w:type="dxa" w:w="5112"/>
          </w:tcPr>
          <w:p>
            <w:r>
              <w:t>Formato</w:t>
            </w:r>
          </w:p>
        </w:tc>
        <w:tc>
          <w:tcPr>
            <w:tcW w:type="dxa" w:w="5112"/>
          </w:tcPr>
          <w:p>
            <w:r>
              <w:t>PDF o PPTX.</w:t>
            </w:r>
          </w:p>
        </w:tc>
      </w:tr>
      <w:tr>
        <w:tc>
          <w:tcPr>
            <w:tcW w:type="dxa" w:w="5112"/>
          </w:tcPr>
          <w:p>
            <w:r>
              <w:t>Páginas/diapositivas</w:t>
            </w:r>
          </w:p>
        </w:tc>
        <w:tc>
          <w:tcPr>
            <w:tcW w:type="dxa" w:w="5112"/>
          </w:tcPr>
          <w:p>
            <w:r>
              <w:t>Exactamente 1.</w:t>
            </w:r>
          </w:p>
        </w:tc>
      </w:tr>
      <w:tr>
        <w:tc>
          <w:tcPr>
            <w:tcW w:type="dxa" w:w="5112"/>
          </w:tcPr>
          <w:p>
            <w:r>
              <w:t>Ancho</w:t>
            </w:r>
          </w:p>
        </w:tc>
        <w:tc>
          <w:tcPr>
            <w:tcW w:type="dxa" w:w="5112"/>
          </w:tcPr>
          <w:p>
            <w:r>
              <w:t>≤ 36 pulgadas.</w:t>
            </w:r>
          </w:p>
        </w:tc>
      </w:tr>
      <w:tr>
        <w:tc>
          <w:tcPr>
            <w:tcW w:type="dxa" w:w="5112"/>
          </w:tcPr>
          <w:p>
            <w:r>
              <w:t>Largo</w:t>
            </w:r>
          </w:p>
        </w:tc>
        <w:tc>
          <w:tcPr>
            <w:tcW w:type="dxa" w:w="5112"/>
          </w:tcPr>
          <w:p>
            <w:r>
              <w:t>≤ 72 pulgadas.</w:t>
            </w:r>
          </w:p>
        </w:tc>
      </w:tr>
      <w:tr>
        <w:tc>
          <w:tcPr>
            <w:tcW w:type="dxa" w:w="5112"/>
          </w:tcPr>
          <w:p>
            <w:r>
              <w:t>Archivo corrupto/no legible</w:t>
            </w:r>
          </w:p>
        </w:tc>
        <w:tc>
          <w:tcPr>
            <w:tcW w:type="dxa" w:w="5112"/>
          </w:tcPr>
          <w:p>
            <w:r>
              <w:t>Rechazar, explicar la razón y pedir resubida.</w:t>
            </w:r>
          </w:p>
        </w:tc>
      </w:tr>
      <w:tr>
        <w:tc>
          <w:tcPr>
            <w:tcW w:type="dxa" w:w="5112"/>
          </w:tcPr>
          <w:p>
            <w:r>
              <w:t>Formato no aceptado</w:t>
            </w:r>
          </w:p>
        </w:tc>
        <w:tc>
          <w:tcPr>
            <w:tcW w:type="dxa" w:w="5112"/>
          </w:tcPr>
          <w:p>
            <w:r>
              <w:t>Rechazar, explicar la razón y pedir resubida.</w:t>
            </w:r>
          </w:p>
        </w:tc>
      </w:tr>
      <w:tr>
        <w:tc>
          <w:tcPr>
            <w:tcW w:type="dxa" w:w="5112"/>
          </w:tcPr>
          <w:p>
            <w:r>
              <w:t>Dimensión inválida</w:t>
            </w:r>
          </w:p>
        </w:tc>
        <w:tc>
          <w:tcPr>
            <w:tcW w:type="dxa" w:w="5112"/>
          </w:tcPr>
          <w:p>
            <w:r>
              <w:t>Rechazar, explicar la razón y pedir resubida.</w:t>
            </w:r>
          </w:p>
        </w:tc>
      </w:tr>
    </w:tbl>
    <w:p>
      <w:r>
        <w:t>La validación no garantiza la calidad visual o física de la impresión; comprueba las reglas técnicas autorizadas.</w:t>
      </w:r>
    </w:p>
    <w:p>
      <w:pPr>
        <w:pStyle w:val="Heading1"/>
      </w:pPr>
      <w:r>
        <w:t>6. Poster ID y Date In</w:t>
      </w:r>
    </w:p>
    <w:p>
      <w:r>
        <w:t>Al aceptar una solicitud válida, el sistema genera automáticamente un Poster ID único, secuencial e inmutable. El usuario no introduce el ID. Formato recomendado: POSTER-YYYY-NNNNNN. Es distinto del ID interno de SQL Server y es el número que el solicitante utilizará en TDX. Date In se genera automáticamente como fecha y hora de aceptación.</w:t>
      </w:r>
    </w:p>
    <w:p>
      <w:pPr>
        <w:pStyle w:val="Heading1"/>
      </w:pPr>
      <w:r>
        <w:t>7. Modelo de información y autoridad</w:t>
      </w:r>
    </w:p>
    <w:p>
      <w:pPr>
        <w:pStyle w:val="Heading2"/>
      </w:pPr>
      <w:r>
        <w:t>7.1 Solicitante</w:t>
      </w:r>
    </w:p>
    <w:p>
      <w:pPr>
        <w:pStyle w:val="ListBullet"/>
      </w:pPr>
      <w:r>
        <w:t>Nombre</w:t>
      </w:r>
    </w:p>
    <w:p>
      <w:pPr>
        <w:pStyle w:val="ListBullet"/>
      </w:pPr>
      <w:r>
        <w:t>Mentor cuando corresponde</w:t>
      </w:r>
    </w:p>
    <w:p>
      <w:pPr>
        <w:pStyle w:val="ListBullet"/>
      </w:pPr>
      <w:r>
        <w:t>Department</w:t>
      </w:r>
    </w:p>
    <w:p>
      <w:pPr>
        <w:pStyle w:val="ListBullet"/>
      </w:pPr>
      <w:r>
        <w:t>Room</w:t>
      </w:r>
    </w:p>
    <w:p>
      <w:pPr>
        <w:pStyle w:val="ListBullet"/>
      </w:pPr>
      <w:r>
        <w:t>Phone</w:t>
      </w:r>
    </w:p>
    <w:p>
      <w:pPr>
        <w:pStyle w:val="ListBullet"/>
      </w:pPr>
      <w:r>
        <w:t>Email</w:t>
      </w:r>
    </w:p>
    <w:p>
      <w:pPr>
        <w:pStyle w:val="ListBullet"/>
      </w:pPr>
      <w:r>
        <w:t>Reason/Event</w:t>
      </w:r>
    </w:p>
    <w:p>
      <w:pPr>
        <w:pStyle w:val="ListBullet"/>
      </w:pPr>
      <w:r>
        <w:t>LaminationRequested</w:t>
      </w:r>
    </w:p>
    <w:p>
      <w:pPr>
        <w:pStyle w:val="ListBullet"/>
      </w:pPr>
      <w:r>
        <w:t>Poster</w:t>
      </w:r>
    </w:p>
    <w:p>
      <w:pPr>
        <w:pStyle w:val="ListBullet"/>
      </w:pPr>
      <w:r>
        <w:t>Approval Sheet cuando corresponde</w:t>
      </w:r>
    </w:p>
    <w:p>
      <w:pPr>
        <w:pStyle w:val="Heading2"/>
      </w:pPr>
      <w:r>
        <w:t>7.2 Sistema</w:t>
      </w:r>
    </w:p>
    <w:p>
      <w:pPr>
        <w:pStyle w:val="ListBullet"/>
      </w:pPr>
      <w:r>
        <w:t>PosterRequestId interno</w:t>
      </w:r>
    </w:p>
    <w:p>
      <w:pPr>
        <w:pStyle w:val="ListBullet"/>
      </w:pPr>
      <w:r>
        <w:t>Poster ID</w:t>
      </w:r>
    </w:p>
    <w:p>
      <w:pPr>
        <w:pStyle w:val="ListBullet"/>
      </w:pPr>
      <w:r>
        <w:t>Date In</w:t>
      </w:r>
    </w:p>
    <w:p>
      <w:pPr>
        <w:pStyle w:val="ListBullet"/>
      </w:pPr>
      <w:r>
        <w:t>ApprovalSheetUploaded</w:t>
      </w:r>
    </w:p>
    <w:p>
      <w:pPr>
        <w:pStyle w:val="ListBullet"/>
      </w:pPr>
      <w:r>
        <w:t>metadata del archivo</w:t>
      </w:r>
    </w:p>
    <w:p>
      <w:pPr>
        <w:pStyle w:val="ListBullet"/>
      </w:pPr>
      <w:r>
        <w:t>resultado de preflight</w:t>
      </w:r>
    </w:p>
    <w:p>
      <w:pPr>
        <w:pStyle w:val="ListBullet"/>
      </w:pPr>
      <w:r>
        <w:t>ubicación de almacenamiento</w:t>
      </w:r>
    </w:p>
    <w:p>
      <w:pPr>
        <w:pStyle w:val="Heading2"/>
      </w:pPr>
      <w:r>
        <w:t>7.3 Técnico</w:t>
      </w:r>
    </w:p>
    <w:p>
      <w:pPr>
        <w:pStyle w:val="ListBullet"/>
      </w:pPr>
      <w:r>
        <w:t>IT Person</w:t>
      </w:r>
    </w:p>
    <w:p>
      <w:pPr>
        <w:pStyle w:val="ListBullet"/>
      </w:pPr>
      <w:r>
        <w:t>Received</w:t>
      </w:r>
    </w:p>
    <w:p>
      <w:pPr>
        <w:pStyle w:val="ListBullet"/>
      </w:pPr>
      <w:r>
        <w:t>Printed</w:t>
      </w:r>
    </w:p>
    <w:p>
      <w:pPr>
        <w:pStyle w:val="ListBullet"/>
      </w:pPr>
      <w:r>
        <w:t>Laminated</w:t>
      </w:r>
    </w:p>
    <w:p>
      <w:pPr>
        <w:pStyle w:val="ListBullet"/>
      </w:pPr>
      <w:r>
        <w:t>Notified</w:t>
      </w:r>
    </w:p>
    <w:p>
      <w:pPr>
        <w:pStyle w:val="ListBullet"/>
      </w:pPr>
      <w:r>
        <w:t>Date Out</w:t>
      </w:r>
    </w:p>
    <w:p>
      <w:pPr>
        <w:pStyle w:val="ListBullet"/>
      </w:pPr>
      <w:r>
        <w:t>Picked Up By</w:t>
      </w:r>
    </w:p>
    <w:p>
      <w:pPr>
        <w:pStyle w:val="ListBullet"/>
      </w:pPr>
      <w:r>
        <w:t>Comments</w:t>
      </w:r>
    </w:p>
    <w:p>
      <w:pPr>
        <w:pStyle w:val="Heading2"/>
      </w:pPr>
      <w:r>
        <w:t>7.4 Campos eliminados</w:t>
      </w:r>
    </w:p>
    <w:p>
      <w:pPr>
        <w:pStyle w:val="ListBullet"/>
      </w:pPr>
      <w:r>
        <w:t>Overdue</w:t>
      </w:r>
    </w:p>
    <w:p>
      <w:pPr>
        <w:pStyle w:val="ListBullet"/>
      </w:pPr>
      <w:r>
        <w:t>Paid Fee</w:t>
      </w:r>
    </w:p>
    <w:p>
      <w:pPr>
        <w:pStyle w:val="ListBullet"/>
      </w:pPr>
      <w:r>
        <w:t>FOPAL No</w:t>
      </w:r>
    </w:p>
    <w:p>
      <w:pPr>
        <w:pStyle w:val="ListBullet"/>
      </w:pPr>
      <w:r>
        <w:t>Media: Email / USB / Box</w:t>
      </w:r>
    </w:p>
    <w:p>
      <w:pPr>
        <w:pStyle w:val="Heading1"/>
      </w:pPr>
      <w:r>
        <w:t>8. Workflow del técnico</w:t>
      </w:r>
    </w:p>
    <w:p>
      <w:r>
        <w:t>El técnico que acepta el ticket es responsable de los datos operativos y avanza secuencialmente conforme termina cada tarea.</w:t>
      </w:r>
    </w:p>
    <w:p>
      <w:pPr>
        <w:ind w:left="360"/>
      </w:pPr>
      <w:r>
        <w:rPr>
          <w:rFonts w:ascii="Consolas" w:hAnsi="Consolas"/>
          <w:sz w:val="17"/>
        </w:rPr>
        <w:t>Received → Printed → Laminated (si LaminationRequested = true) → Notified → Pickup</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Campo</w:t>
            </w:r>
          </w:p>
        </w:tc>
        <w:tc>
          <w:tcPr>
            <w:tcW w:type="dxa" w:w="3408"/>
          </w:tcPr>
          <w:p>
            <w:r>
              <w:rPr>
                <w:b/>
              </w:rPr>
              <w:t>Tipo</w:t>
            </w:r>
          </w:p>
        </w:tc>
        <w:tc>
          <w:tcPr>
            <w:tcW w:type="dxa" w:w="3408"/>
          </w:tcPr>
          <w:p>
            <w:r>
              <w:rPr>
                <w:b/>
              </w:rPr>
              <w:t>Momento</w:t>
            </w:r>
          </w:p>
        </w:tc>
      </w:tr>
      <w:tr>
        <w:tc>
          <w:tcPr>
            <w:tcW w:type="dxa" w:w="3408"/>
          </w:tcPr>
          <w:p>
            <w:r>
              <w:t>IT Person</w:t>
            </w:r>
          </w:p>
        </w:tc>
        <w:tc>
          <w:tcPr>
            <w:tcW w:type="dxa" w:w="3408"/>
          </w:tcPr>
          <w:p>
            <w:r>
              <w:t>Textbox</w:t>
            </w:r>
          </w:p>
        </w:tc>
        <w:tc>
          <w:tcPr>
            <w:tcW w:type="dxa" w:w="3408"/>
          </w:tcPr>
          <w:p>
            <w:r>
              <w:t>Al aceptar/procesar.</w:t>
            </w:r>
          </w:p>
        </w:tc>
      </w:tr>
      <w:tr>
        <w:tc>
          <w:tcPr>
            <w:tcW w:type="dxa" w:w="3408"/>
          </w:tcPr>
          <w:p>
            <w:r>
              <w:t>Received</w:t>
            </w:r>
          </w:p>
        </w:tc>
        <w:tc>
          <w:tcPr>
            <w:tcW w:type="dxa" w:w="3408"/>
          </w:tcPr>
          <w:p>
            <w:r>
              <w:t>Date component</w:t>
            </w:r>
          </w:p>
        </w:tc>
        <w:tc>
          <w:tcPr>
            <w:tcW w:type="dxa" w:w="3408"/>
          </w:tcPr>
          <w:p>
            <w:r>
              <w:t>Al recibir/tomar el trabajo.</w:t>
            </w:r>
          </w:p>
        </w:tc>
      </w:tr>
      <w:tr>
        <w:tc>
          <w:tcPr>
            <w:tcW w:type="dxa" w:w="3408"/>
          </w:tcPr>
          <w:p>
            <w:r>
              <w:t>Printed</w:t>
            </w:r>
          </w:p>
        </w:tc>
        <w:tc>
          <w:tcPr>
            <w:tcW w:type="dxa" w:w="3408"/>
          </w:tcPr>
          <w:p>
            <w:r>
              <w:t>Boolean / Checkbox</w:t>
            </w:r>
          </w:p>
        </w:tc>
        <w:tc>
          <w:tcPr>
            <w:tcW w:type="dxa" w:w="3408"/>
          </w:tcPr>
          <w:p>
            <w:r>
              <w:t>Al terminar la impresión.</w:t>
            </w:r>
          </w:p>
        </w:tc>
      </w:tr>
      <w:tr>
        <w:tc>
          <w:tcPr>
            <w:tcW w:type="dxa" w:w="3408"/>
          </w:tcPr>
          <w:p>
            <w:r>
              <w:t>Laminated</w:t>
            </w:r>
          </w:p>
        </w:tc>
        <w:tc>
          <w:tcPr>
            <w:tcW w:type="dxa" w:w="3408"/>
          </w:tcPr>
          <w:p>
            <w:r>
              <w:t>Boolean / Checkbox</w:t>
            </w:r>
          </w:p>
        </w:tc>
        <w:tc>
          <w:tcPr>
            <w:tcW w:type="dxa" w:w="3408"/>
          </w:tcPr>
          <w:p>
            <w:r>
              <w:t>Al terminar la laminación cuando fue solicitada.</w:t>
            </w:r>
          </w:p>
        </w:tc>
      </w:tr>
      <w:tr>
        <w:tc>
          <w:tcPr>
            <w:tcW w:type="dxa" w:w="3408"/>
          </w:tcPr>
          <w:p>
            <w:r>
              <w:t>Notified</w:t>
            </w:r>
          </w:p>
        </w:tc>
        <w:tc>
          <w:tcPr>
            <w:tcW w:type="dxa" w:w="3408"/>
          </w:tcPr>
          <w:p>
            <w:r>
              <w:t>Boolean / Checkbox</w:t>
            </w:r>
          </w:p>
        </w:tc>
        <w:tc>
          <w:tcPr>
            <w:tcW w:type="dxa" w:w="3408"/>
          </w:tcPr>
          <w:p>
            <w:r>
              <w:t>Después de que el póster esté listo.</w:t>
            </w:r>
          </w:p>
        </w:tc>
      </w:tr>
      <w:tr>
        <w:tc>
          <w:tcPr>
            <w:tcW w:type="dxa" w:w="3408"/>
          </w:tcPr>
          <w:p>
            <w:r>
              <w:t>Date Out</w:t>
            </w:r>
          </w:p>
        </w:tc>
        <w:tc>
          <w:tcPr>
            <w:tcW w:type="dxa" w:w="3408"/>
          </w:tcPr>
          <w:p>
            <w:r>
              <w:t>Date component</w:t>
            </w:r>
          </w:p>
        </w:tc>
        <w:tc>
          <w:tcPr>
            <w:tcW w:type="dxa" w:w="3408"/>
          </w:tcPr>
          <w:p>
            <w:r>
              <w:t>Cuando sale/entrega el póster.</w:t>
            </w:r>
          </w:p>
        </w:tc>
      </w:tr>
      <w:tr>
        <w:tc>
          <w:tcPr>
            <w:tcW w:type="dxa" w:w="3408"/>
          </w:tcPr>
          <w:p>
            <w:r>
              <w:t>Picked Up By</w:t>
            </w:r>
          </w:p>
        </w:tc>
        <w:tc>
          <w:tcPr>
            <w:tcW w:type="dxa" w:w="3408"/>
          </w:tcPr>
          <w:p>
            <w:r>
              <w:t>Textbox</w:t>
            </w:r>
          </w:p>
        </w:tc>
        <w:tc>
          <w:tcPr>
            <w:tcW w:type="dxa" w:w="3408"/>
          </w:tcPr>
          <w:p>
            <w:r>
              <w:t>Al registrar quién lo recogió.</w:t>
            </w:r>
          </w:p>
        </w:tc>
      </w:tr>
      <w:tr>
        <w:tc>
          <w:tcPr>
            <w:tcW w:type="dxa" w:w="3408"/>
          </w:tcPr>
          <w:p>
            <w:r>
              <w:t>Comments</w:t>
            </w:r>
          </w:p>
        </w:tc>
        <w:tc>
          <w:tcPr>
            <w:tcW w:type="dxa" w:w="3408"/>
          </w:tcPr>
          <w:p>
            <w:r>
              <w:t>Multiline textbox</w:t>
            </w:r>
          </w:p>
        </w:tc>
        <w:tc>
          <w:tcPr>
            <w:tcW w:type="dxa" w:w="3408"/>
          </w:tcPr>
          <w:p>
            <w:r>
              <w:t>Notas operativas.</w:t>
            </w:r>
          </w:p>
        </w:tc>
      </w:tr>
    </w:tbl>
    <w:p>
      <w:r>
        <w:t>No se pueden saltar etapas. Si no se solicitó laminación, la etapa Laminated no bloquea el proceso.</w:t>
      </w:r>
    </w:p>
    <w:p>
      <w:pPr>
        <w:pStyle w:val="Heading1"/>
      </w:pPr>
      <w:r>
        <w:t>9. Almacenamiento</w:t>
      </w:r>
    </w:p>
    <w:p>
      <w:pPr>
        <w:pStyle w:val="Heading2"/>
      </w:pPr>
      <w:r>
        <w:t>9.1 Autoridad de carpetas</w:t>
      </w:r>
    </w:p>
    <w:p>
      <w:r>
        <w:t xml:space="preserve">La estructura de carpetas, la migración desde la disposición aceptada y el movimiento físico al marcar Printed se definen únicamente en docs/Shared_Storage_Contract_v1.docx (Shared Storage Contract, versión 1.0, 8 de octubre de 2026). Este roadmap es la única autoridad del orden y del estado de las capacidades. No es la autoridad de la estructura de carpetas.</w:t>
      </w:r>
    </w:p>
    <w:p>
      <w:r>
        <w:t>Quedan sustituidos, y no son autoridad, el directorio padre POSTERS, el WITHOUT-EVENT organizado por meses 01 a 12, la carpeta de evento con subcarpetas nombradas solo con el Poster ID, y el artefacto vacío [Nombre del solicitante].txt.</w:t>
      </w:r>
    </w:p>
    <w:p>
      <w:pPr>
        <w:pStyle w:val="Heading2"/>
      </w:pPr>
      <w:r>
        <w:t>9.2 Carpetas de impresión autorizadas</w:t>
      </w:r>
    </w:p>
    <w:p>
      <w:r>
        <w:t xml:space="preserve">Para cada evento, las carpetas son &lt;Event Name&gt; TO BE PRINTED y &lt;Event Name&gt; PRINTED. &lt;Event Name&gt; es el nombre de carpeta de evento ya aceptado: el nombre del evento saneado, un espacio y el año de Date In. Para solicitudes sin evento, las carpetas son WITHOUT-EVENT TO BE PRINTED y WITHOUT-EVENT PRINTED, y el año permanece dentro de cada una. Azul representa TO BE PRINTED. Verde representa PRINTED.</w:t>
      </w:r>
    </w:p>
    <w:p>
      <w:r>
        <w:t>Los pósters no impresos pertenecen a la carpeta TO BE PRINTED correspondiente. Los pósters con Printed = true, incluido POSTER-2026-000001, migran directamente a la carpeta PRINTED correspondiente. El Shared Storage Contract define el movimiento del directorio completo del Poster ID, la actualización de cada StoragePath afectado y la conducta cuando el movimiento falla. Esta enmienda no agrega, quita ni reordena FASE 1, FASE 2, FASE 3, FASE 4, FASE 5, FASE 6, FASE 7, FASE 8, FASE 9, FASE 10 y FASE 11.</w:t>
      </w:r>
    </w:p>
    <w:p>
      <w:pPr>
        <w:pStyle w:val="Heading1"/>
      </w:pPr>
      <w:r>
        <w:t>10. ERD lógico</w:t>
      </w:r>
    </w:p>
    <w:p>
      <w:pPr>
        <w:ind w:left="360"/>
      </w:pPr>
      <w:r>
        <w:rPr>
          <w:rFonts w:ascii="Consolas" w:hAnsi="Consolas"/>
          <w:sz w:val="17"/>
        </w:rPr>
        <w:t>Department(DepartmentId PK, Name)</w:t>
        <w:br/>
        <w:t xml:space="preserve">  1:N</w:t>
        <w:br/>
        <w:t>PosterRequest(PosterRequestId PK, PosterId UNIQUE, Name, Mentor NULL, DepartmentId FK, Room, Phone, Email, ReasonId FK NULL, LaminationRequested BIT, ApprovalSheetUploaded BIT, DateIn)</w:t>
        <w:br/>
        <w:t xml:space="preserve">  ├─ 1:1 PosterFile(PosterFileId PK, PosterRequestId FK, OriginalFileName, DetectedFormat, PageCount, Width, Length, StoragePath)</w:t>
        <w:br/>
        <w:t xml:space="preserve">  ├─ 0:1 ApprovalSheet(ApprovalSheetId PK, PosterRequestId FK, FileName, StoragePath)</w:t>
        <w:br/>
        <w:t xml:space="preserve">  └─ 1:1 PosterProcessing(PosterProcessingId PK, PosterRequestId FK UNIQUE, ITPerson, Received, Printed, Laminated, Notified, DateOut, PickedUpBy, Comments)</w:t>
        <w:br/>
        <w:t>Reason(ReasonId PK, Name, RequiresMentor BIT, RequiresApprovalSheet BIT)</w:t>
      </w:r>
    </w:p>
    <w:p>
      <w:pPr>
        <w:pStyle w:val="ListBullet"/>
      </w:pPr>
      <w:r>
        <w:t>Direct Printing debe conservar la dimensión autorizada del poster. Los presets existentes y los tamaños creados mediante Custom en el driver HP son autoridad del driver; la aplicación no debe duplicar ni inventar esos presets.</w:t>
      </w:r>
    </w:p>
    <w:p>
      <w:pPr/>
      <w:r>
        <w:t>DirectPrintJob(DirectPrintJobId PK, PosterRequestId FK, Status, Width, Length, Copies, Queue, CreatedAt, SubmittedAt NULL, CompletedAt NULL, FailureReason NULL)</w:t>
      </w:r>
    </w:p>
    <w:p>
      <w:pPr/>
      <w:r>
        <w:t>DirectPrintConfiguration(DirectPrintConfigurationId PK, Enabled, PrinterQueue, PrinterModel, UpdatedBy, UpdatedAt)</w:t>
      </w:r>
    </w:p>
    <w:p>
      <w:pPr>
        <w:pStyle w:val="ListBullet"/>
      </w:pPr>
      <w:r>
        <w:t>El inventario es autoridad del sistema para existencias, umbrales, estado y expiración de los consumibles registrados. No se debe inferir disponibilidad física fuera de los datos registrados.</w:t>
      </w:r>
    </w:p>
    <w:p>
      <w:pPr/>
      <w:r>
        <w:t>PrintingConsumable(PrintingConsumableId PK, Category, Name, Code NULL, Capacity NULL, HasExpirationDate, CurrentQuantity, LowStockThreshold, CriticalStockThreshold, Status, ExpirationDate NULL, Active)</w:t>
      </w:r>
    </w:p>
    <w:p>
      <w:pPr>
        <w:pStyle w:val="Heading2"/>
      </w:pPr>
      <w:r>
        <w:t>10.1 Modelo de información — Inventario y Direct Printing</w:t>
      </w:r>
    </w:p>
    <w:p>
      <w:pPr>
        <w:pStyle w:val="Heading1"/>
      </w:pPr>
      <w:r>
        <w:t>11. Reglas de estado</w:t>
      </w:r>
    </w:p>
    <w:p>
      <w:r>
        <w:t>La aplicación es responsable de la solicitud hasta que el solicitante crea manualmente el ticket TDX. No existe sincronización. Printed, Laminated y Notified representan acciones completadas por el técnico. LaminationRequested representa la petición original y no debe confundirse con Laminated. La transición Printed incluye el movimiento físico definido por el Shared Storage Contract. Si ese movimiento falla, la transición no queda completada y no se informa como exitosa. Printed sigue siendo el único estado de impresión.</w:t>
      </w:r>
    </w:p>
    <w:p>
      <w:pPr>
        <w:pStyle w:val="Heading1"/>
      </w:pPr>
      <w:r>
        <w:t>12. TDX — alcance definitivo</w:t>
      </w:r>
    </w:p>
    <w:p>
      <w:pPr>
        <w:pStyle w:val="ListBullet"/>
      </w:pPr>
      <w:r>
        <w:t>TDX significa Technology Dynamics y es el sistema institucional de tickets.</w:t>
      </w:r>
    </w:p>
    <w:p>
      <w:pPr>
        <w:pStyle w:val="ListBullet"/>
      </w:pPr>
      <w:r>
        <w:t>No habrá integración automática.</w:t>
      </w:r>
    </w:p>
    <w:p>
      <w:pPr>
        <w:pStyle w:val="ListBullet"/>
      </w:pPr>
      <w:r>
        <w:t>La aplicación genera el Poster ID.</w:t>
      </w:r>
    </w:p>
    <w:p>
      <w:pPr>
        <w:pStyle w:val="ListBullet"/>
      </w:pPr>
      <w:r>
        <w:t>El solicitante crea manualmente el ticket usando ese ID.</w:t>
      </w:r>
    </w:p>
    <w:p>
      <w:pPr>
        <w:pStyle w:val="ListBullet"/>
      </w:pPr>
      <w:r>
        <w:t>TDX asigna el ticket a un técnico.</w:t>
      </w:r>
    </w:p>
    <w:p>
      <w:pPr>
        <w:pStyle w:val="ListBullet"/>
      </w:pPr>
      <w:r>
        <w:t>El técnico usa el Poster ID para localizar la solicitud y archivos.</w:t>
      </w:r>
    </w:p>
    <w:p>
      <w:pPr>
        <w:pStyle w:val="ListBullet"/>
      </w:pPr>
      <w:r>
        <w:t>La aplicación no crea, lee, modifica ni sincroniza tickets TDX.</w:t>
      </w:r>
    </w:p>
    <w:p>
      <w:r>
        <w:t>Aceptación: Pruebas y aceptación funcional completas; aplicación lista para producción.</w:t>
      </w:r>
    </w:p>
    <w:p>
      <w:r>
        <w:t>Alcance: Validar uploads malformados, acceso, permisos, accesibilidad, rendimiento, backup/recovery, logging y despliegue.</w:t>
      </w:r>
    </w:p>
    <w:p>
      <w:pPr>
        <w:pStyle w:val="Heading2"/>
      </w:pPr>
      <w:r>
        <w:t>FASE 11 — Direct Printing Experimental</w:t>
      </w:r>
    </w:p>
    <w:p>
      <w:pPr/>
      <w:r>
        <w:t>Estado: Nueva capacidad autorizada; experimental; DESACTIVADA por defecto.</w:t>
      </w:r>
    </w:p>
    <w:p>
      <w:pPr/>
      <w:r>
        <w:t>Aceptación: Un administrador autorizado puede activar/desactivar la capacidad mediante un checkmark/feature flag. Con OFF, el flujo de impresión permanece manual y no existe envío automático a la impresora. Con ON, un técnico puede crear un Print Job solamente para una solicitud aprobada y enviar el trabajo a la cola autorizada del Windows Print Server para la HP DesignJet T1300.</w:t>
      </w:r>
    </w:p>
    <w:p>
      <w:pPr/>
      <w:r>
        <w:t>Alcance: Definir contratos de configuración, autorización, Print Job, estados, auditoría y envío a la cola de impresión. Conservar el servidor de impresión y el driver HP como autoridad de ejecución física. Soportar dimensiones variables del poster; si un tamaño no existe como preset del driver, debe poder definirse mediante la función Custom del driver.</w:t>
      </w:r>
    </w:p>
    <w:p>
      <w:pPr>
        <w:pStyle w:val="Heading2"/>
      </w:pPr>
      <w:r>
        <w:t>FASE 10 — Printing Consumables Inventory</w:t>
      </w:r>
    </w:p>
    <w:p>
      <w:pPr/>
      <w:r>
        <w:t>Estado: Nueva capacidad autorizada.</w:t>
      </w:r>
    </w:p>
    <w:p>
      <w:pPr/>
      <w:r>
        <w:t>Aceptación: El área de técnicos muestra existencias actuales, estado, umbrales configurados y expiración cuando corresponda para cartuchos, papel y materiales de laminado. El sistema identifica depleted, bajo stock y próximos a vencer sin inferir datos no registrados.</w:t>
      </w:r>
    </w:p>
    <w:p>
      <w:pPr/>
      <w:r>
        <w:t>Alcance: Implementar catálogo de consumibles, existencias, umbrales, estados, expiración y alertas. Registrar los cartuchos MK/PK/B/M/Y/G, el papel HP C1861A, el papel fotográfico C6814A y los materiales compatibles de laminación identificados para Eagle 105.</w:t>
      </w:r>
    </w:p>
    <w:p>
      <w:pPr>
        <w:pStyle w:val="Heading2"/>
      </w:pPr>
      <w:r>
        <w:t>FASE 9 — Security, Testing and Production</w:t>
      </w:r>
    </w:p>
    <w:p>
      <w:r>
        <w:t>Aceptación: El técnico puede procesar la solicitud de principio a fin sin saltarse etapas.</w:t>
      </w:r>
    </w:p>
    <w:p>
      <w:r>
        <w:t>Alcance: Implementar cola/detalle del técnico y flujo secuencial Received → Printed → Laminated cuando corresponda → Notified → Pickup.</w:t>
      </w:r>
    </w:p>
    <w:p>
      <w:pPr>
        <w:pStyle w:val="Heading2"/>
      </w:pPr>
      <w:r>
        <w:t>FASE 8 — Technician Workflow</w:t>
      </w:r>
    </w:p>
    <w:p>
      <w:r>
        <w:t>Aceptación: Cada solicitud aceptada queda almacenada sin ambigüedad y el solicitante recibe todo lo necesario para continuar en TDX.</w:t>
      </w:r>
    </w:p>
    <w:p>
      <w:r>
        <w:t>Alcance: Almacenar el póster y el Approval Sheet cuando corresponda, en la estructura definida por el Shared Storage Contract. Quedan sustituidas la estructura WITHOUT-EVENT por mes, las carpetas EVENT/Poster ID y la generación del .txt vacío. Mostrar confirmación, Poster ID e instrucciones para crear manualmente el ticket TDX.</w:t>
      </w:r>
    </w:p>
    <w:p>
      <w:pPr>
        <w:pStyle w:val="Heading2"/>
      </w:pPr>
      <w:r>
        <w:t>FASE 7 — Shared Storage + Poster ID + TDX Handoff</w:t>
      </w:r>
    </w:p>
    <w:p>
      <w:r>
        <w:t>Aceptación: Una solicitud solamente se acepta cuando cumple todas las condiciones aplicables.</w:t>
      </w:r>
    </w:p>
    <w:p>
      <w:r>
        <w:t>Alcance: Implementar Reason/Event, reglas RequiresMentor/RequiresApprovalSheet, uploader separado y ApprovalSheetUploaded. Generar Poster ID y Date In al aceptar.</w:t>
      </w:r>
    </w:p>
    <w:p>
      <w:pPr>
        <w:pStyle w:val="Heading2"/>
      </w:pPr>
      <w:r>
        <w:t>FASE 6 — Approval Sheet + Acceptance</w:t>
      </w:r>
    </w:p>
    <w:p>
      <w:r>
        <w:t>Aceptación: Archivos reales válidos e inválidos producen resultados determinísticos, comprensibles y accionables.</w:t>
      </w:r>
    </w:p>
    <w:p>
      <w:r>
        <w:t>Ante cualquier fallo, explicar exactamente el problema y solicitar una nueva carga.</w:t>
      </w:r>
    </w:p>
    <w:p>
      <w:r>
        <w:t>Alcance: Implementar inspección real del archivo, una página/diapositiva y dimensiones máximas 36×72. Mostrar un preflight visual con formato, número de páginas y dimensiones.</w:t>
      </w:r>
    </w:p>
    <w:p>
      <w:pPr>
        <w:pStyle w:val="Heading2"/>
      </w:pPr>
      <w:r>
        <w:t>FASE 5 — PDF/PPTX Preflight</w:t>
      </w:r>
    </w:p>
    <w:p>
      <w:r>
        <w:t>Aceptación: El usuario puede completar la solicitud de principio a fin con una experiencia clara en desktop, tablet y móvil.</w:t>
      </w:r>
    </w:p>
    <w:p>
      <w:r>
        <w:t>La experiencia debe incluir un componente de poster upload y un componente independiente para Approval Sheet cuando corresponda.</w:t>
      </w:r>
    </w:p>
    <w:p>
      <w:r>
        <w:t>Alcance: Construir el formulario responsive de Student/Staff, drag-and-drop, selección de archivos, estados de upload, reemplazo/eliminación y feedback visual.</w:t>
      </w:r>
    </w:p>
    <w:p>
      <w:pPr>
        <w:pStyle w:val="Heading2"/>
      </w:pPr>
      <w:r>
        <w:t>FASE 4 — Requester Form + Premium Upload Experience</w:t>
      </w:r>
    </w:p>
    <w:p>
      <w:r>
        <w:t>Aceptación: Un usuario puede comprender los requisitos sin asistencia y puede consultar ayuda de alta calidad desde el flujo de solicitud.</w:t>
      </w:r>
    </w:p>
    <w:p>
      <w:r>
        <w:t>Debe poder mostrar estados visuales Good / Not Accepted y una explicación clara de qué debe corregirse.</w:t>
      </w:r>
    </w:p>
    <w:p>
      <w:r>
        <w:t>Debe incluir ayuda contextual dentro del formulario para que el usuario no tenga que abandonar la solicitud para consultar requisitos.</w:t>
      </w:r>
    </w:p>
    <w:p>
      <w:r>
        <w:t>Debe incluir: explicación visual de 36 pulgadas como ancho recomendado, 36 pulgadas como máximo, 72 pulgadas como máximo de largo, ejemplos, fotografías, videos, FAQ, referencia visual del preview del plotter y orientación paso a paso.</w:t>
      </w:r>
    </w:p>
    <w:p>
      <w:r>
        <w:t>Alcance: Crear una experiencia de ayuda visual de alta calidad que explique los requisitos antes de que el usuario prepare o cargue el poster.</w:t>
      </w:r>
    </w:p>
    <w:p>
      <w:pPr>
        <w:pStyle w:val="Heading2"/>
      </w:pPr>
      <w:r>
        <w:t>FASE 3 — Exceptional Help Experience</w:t>
      </w:r>
    </w:p>
    <w:p>
      <w:r>
        <w:t>Aceptación: La estructura visual y responsive permite construir todas las experiencias posteriores sin depender de correcciones locales de página.</w:t>
      </w:r>
    </w:p>
    <w:p>
      <w:r>
        <w:t>Objetivo de UX: La aplicación debe sentirse como un portal institucional moderno y profesional, no como un formulario CRUD.</w:t>
      </w:r>
    </w:p>
    <w:p>
      <w:r>
        <w:t>Alcance: Crear el shell de la aplicación, lenguaje visual, navegación, diseño responsive, accesibilidad y una experiencia visual de nivel profesional.</w:t>
      </w:r>
    </w:p>
    <w:p>
      <w:pPr>
        <w:pStyle w:val="Heading2"/>
      </w:pPr>
      <w:r>
        <w:t>FASE 2 — Premium Frontend Foundation</w:t>
      </w:r>
    </w:p>
    <w:p>
      <w:r>
        <w:t>Aceptación: ERD implementado y datos de autoridad correctamente separados.</w:t>
      </w:r>
    </w:p>
    <w:p>
      <w:r>
        <w:t>Alcance: Crear la solución Microsoft, SQL Server, entidades, relaciones, Department/Reason y persistencia básica del request.</w:t>
      </w:r>
    </w:p>
    <w:p>
      <w:pPr>
        <w:pStyle w:val="Heading2"/>
      </w:pPr>
      <w:r>
        <w:t>FASE 1 — Foundation + SQL Server</w:t>
      </w:r>
    </w:p>
    <w:p>
      <w:pPr>
        <w:pStyle w:val="Heading1"/>
      </w:pPr>
      <w:r>
        <w:t>13. Roadmap de implementación</w:t>
      </w:r>
    </w:p>
    <w:p>
      <w:pPr/>
      <w:r>
        <w:t>Nota de versión 4.0: Se autorizan como próximas capacidades FASE 10 — Printing Consumables Inventory y FASE 11 — Direct Printing Experimental. Ambas requieren sus contratos estructurales antes de implementación. Direct Printing permanece OFF por defecto.</w:t>
      </w:r>
    </w:p>
    <w:p>
      <w:r>
        <w:t xml:space="preserve">Nota de enmienda del 8 de octubre de 2026: El orden de implementación permanece FASE 1, FASE 2, FASE 3, FASE 4, FASE 5, FASE 6, FASE 7, FASE 8, FASE 9, FASE 10, FASE 11. Esta enmienda no cambia ese orden. El estado de FASE 10 y FASE 11 permanece el de la nota de versión 4.0. Las FASE 1 a FASE 9 conservan el texto de la versión 4.0, que no les asigna una etiqueta de estado distinta. La organización de carpetas de impresión queda autorizada como enmienda de almacenamiento, no como fase nueva. Su estado es: autorizada por el Shared Storage Contract; esta enmienda no modifica el código de la aplicación. La nota de versión 4.0 autoriza capacidades nuevas solo como fases posteriores que requieren un contrato estructural, y nombra FASE 10 y FASE 11 como esas próximas capacidades. Por eso esta enmienda no inserta una fase. El archivo Poster_Print_Request_System_Roadmap_Final_v4_Bilingual old.docx contiene la versión 3.0 del 6 de octubre de 2026 y no es autoridad de orden, estado ni almacenamiento.</w:t>
      </w:r>
    </w:p>
    <w:p>
      <w:pPr>
        <w:pStyle w:val="Heading1"/>
      </w:pPr>
      <w:r>
        <w:t>14. Seguridad y confiabilidad</w:t>
      </w:r>
    </w:p>
    <w:p>
      <w:pPr>
        <w:pStyle w:val="ListBullet"/>
      </w:pPr>
      <w:r>
        <w:t>Tratar uploads como entrada no confiable.</w:t>
      </w:r>
    </w:p>
    <w:p>
      <w:pPr>
        <w:pStyle w:val="ListBullet"/>
      </w:pPr>
      <w:r>
        <w:t>Validar contenido real.</w:t>
      </w:r>
    </w:p>
    <w:p>
      <w:pPr>
        <w:pStyle w:val="ListBullet"/>
      </w:pPr>
      <w:r>
        <w:t>Definir límites de tamaño/recursos.</w:t>
      </w:r>
    </w:p>
    <w:p>
      <w:pPr>
        <w:pStyle w:val="ListBullet"/>
      </w:pPr>
      <w:r>
        <w:t>Aplicar malware/quarantine según política institucional.</w:t>
      </w:r>
    </w:p>
    <w:p>
      <w:pPr>
        <w:pStyle w:val="ListBullet"/>
      </w:pPr>
      <w:r>
        <w:t>Usar nombres/IDs seguros.</w:t>
      </w:r>
    </w:p>
    <w:p>
      <w:pPr>
        <w:pStyle w:val="ListBullet"/>
      </w:pPr>
      <w:r>
        <w:t>Controlar acceso a datos y archivos.</w:t>
      </w:r>
    </w:p>
    <w:p>
      <w:pPr>
        <w:pStyle w:val="ListBullet"/>
      </w:pPr>
      <w:r>
        <w:t>Proteger datos de estudiantes y staff.</w:t>
      </w:r>
    </w:p>
    <w:p>
      <w:pPr>
        <w:pStyle w:val="ListBullet"/>
      </w:pPr>
      <w:r>
        <w:t>Auditar cambios operativos relevantes.</w:t>
      </w:r>
    </w:p>
    <w:p>
      <w:pPr>
        <w:pStyle w:val="ListBullet"/>
      </w:pPr>
      <w:r>
        <w:t>Alternativa accesible al drag-and-drop.</w:t>
      </w:r>
    </w:p>
    <w:p>
      <w:pPr>
        <w:pStyle w:val="ListBullet"/>
      </w:pPr>
      <w:r>
        <w:t>Subtítulos/transcripción para videos.</w:t>
      </w:r>
    </w:p>
    <w:p>
      <w:pPr>
        <w:pStyle w:val="Heading1"/>
      </w:pPr>
      <w:r>
        <w:t>15. Criterios generales de aceptación</w:t>
      </w:r>
    </w:p>
    <w:p>
      <w:pPr>
        <w:pStyle w:val="ListBullet"/>
      </w:pPr>
      <w:r>
        <w:t>No aceptar solicitudes que incumplan reglas técnicas.</w:t>
      </w:r>
    </w:p>
    <w:p>
      <w:pPr>
        <w:pStyle w:val="ListBullet"/>
      </w:pPr>
      <w:r>
        <w:t>Solicitud aceptada recibe Poster ID único y secuencial.</w:t>
      </w:r>
    </w:p>
    <w:p>
      <w:pPr>
        <w:pStyle w:val="ListBullet"/>
      </w:pPr>
      <w:r>
        <w:t>Date In se genera automáticamente.</w:t>
      </w:r>
    </w:p>
    <w:p>
      <w:pPr>
        <w:pStyle w:val="ListBullet"/>
      </w:pPr>
      <w:r>
        <w:t>Archivo queda ligado inequívocamente a la solicitud. El póster no impreso queda en la carpeta TO BE PRINTED correspondiente. Al completar Printed, el directorio del Poster ID queda solamente en la carpeta PRINTED correspondiente y cada StoragePath persistido coincide con esa ubicación.</w:t>
      </w:r>
    </w:p>
    <w:p>
      <w:pPr>
        <w:pStyle w:val="ListBullet"/>
      </w:pPr>
      <w:r>
        <w:t>Si el evento requiere Approval Sheet, no se continúa sin PDF válido y ApprovalSheetUploaded = true.</w:t>
      </w:r>
    </w:p>
    <w:p>
      <w:pPr>
        <w:pStyle w:val="ListBullet"/>
      </w:pPr>
      <w:r>
        <w:t>Usuario recibe confirmación, Poster ID y plazo de 48 horas.</w:t>
      </w:r>
    </w:p>
    <w:p>
      <w:pPr>
        <w:pStyle w:val="ListBullet"/>
      </w:pPr>
      <w:r>
        <w:t>No existe dependencia técnica de TDX.</w:t>
      </w:r>
    </w:p>
    <w:p>
      <w:pPr>
        <w:pStyle w:val="ListBullet"/>
      </w:pPr>
      <w:r>
        <w:t>Técnico encuentra la solicitud mediante Poster ID.</w:t>
      </w:r>
    </w:p>
    <w:p>
      <w:pPr>
        <w:pStyle w:val="ListBullet"/>
      </w:pPr>
      <w:r>
        <w:t>Workflow técnico secuencial.</w:t>
      </w:r>
    </w:p>
    <w:p>
      <w:pPr>
        <w:pStyle w:val="ListBullet"/>
      </w:pPr>
      <w:r>
        <w:t>Autoridad separada entre solicitante y técnico.</w:t>
      </w:r>
    </w:p>
    <w:p>
      <w:pPr>
        <w:pStyle w:val="ListBullet"/>
      </w:pPr>
      <w:r>
        <w:t>Build/tests son necesarios pero no son la autoridad de aceptación.</w:t>
      </w:r>
    </w:p>
    <w:p>
      <w:pPr>
        <w:pStyle w:val="ListBullet"/>
      </w:pPr>
      <w:r>
        <w:t>No placeholders, integraciones simuladas, TODO/FIXME ni parches para cubrir comportamiento indefinido.</w:t>
      </w:r>
    </w:p>
    <w:p>
      <w:pPr>
        <w:pStyle w:val="Heading1"/>
      </w:pPr>
      <w:r>
        <w:t>16. Referencia visual del plotter</w:t>
      </w:r>
    </w:p>
    <w:p>
      <w:r>
        <w:t>La imagen proporcionada muestra un preview real con dimensiones de 914 × 1829 mm, aproximadamente 36 × 72 pulgadas. Se conserva como referencia visual para la página de ayuda y documentación.</w:t>
      </w:r>
    </w:p>
    <w:p>
      <w:pPr>
        <w:jc w:val="center"/>
      </w:pPr>
      <w:r>
        <w:drawing>
          <wp:inline xmlns:a="http://schemas.openxmlformats.org/drawingml/2006/main" xmlns:pic="http://schemas.openxmlformats.org/drawingml/2006/picture">
            <wp:extent cx="5943600" cy="35681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943600" cy="356814"/>
                    </a:xfrm>
                    <a:prstGeom prst="rect"/>
                  </pic:spPr>
                </pic:pic>
              </a:graphicData>
            </a:graphic>
          </wp:inline>
        </w:drawing>
      </w:r>
    </w:p>
    <w:p>
      <w:r>
        <w:t>Es una referencia de UX/documentación y no sustituye las reglas funcionales de validación.</w:t>
      </w:r>
    </w:p>
    <w:p>
      <w:r>
        <w:br w:type="page"/>
      </w:r>
    </w:p>
    <w:p>
      <w:pPr>
        <w:jc w:val="center"/>
      </w:pPr>
      <w:r>
        <w:rPr>
          <w:b/>
          <w:sz w:val="48"/>
        </w:rPr>
        <w:t>POSTER PRINT REQUEST SYSTEM</w:t>
      </w:r>
    </w:p>
    <w:p>
      <w:pPr>
        <w:jc w:val="center"/>
      </w:pPr>
      <w:r>
        <w:rPr>
          <w:i/>
          <w:sz w:val="22"/>
        </w:rPr>
        <w:t>FINAL ROADMAP — ENGLISH</w:t>
      </w:r>
    </w:p>
    <w:p>
      <w:pPr>
        <w:jc w:val="center"/>
      </w:pPr>
      <w:r>
        <w:t>Version 4.0 · October 7, 2026</w:t>
      </w:r>
    </w:p>
    <w:p>
      <w:pPr>
        <w:pStyle w:val="Heading1"/>
      </w:pPr>
      <w:r>
        <w:t>1. Purpose and System Boundary</w:t>
      </w:r>
    </w:p>
    <w:p>
      <w:r>
        <w:t>Experience principle: the frontend and visual Help experience are core product capabilities. Interface quality must reduce errors, explain requirements and give the requester confidence before submitting the file.</w:t>
      </w:r>
    </w:p>
    <w:p>
      <w:r>
        <w:t>The application is an internal Microsoft-based web system for students and staff to request poster printing. It receives the request, validates the poster file, records the request in SQL Server, stores files in the shared directory, and generates a Poster ID. Direct printing is NOT part of the normal operational behavior and is DISABLED by default. Version 4.0 authorizes an experimental direct-printing capability, explicitly enabled through a checkmark/feature flag, without replacing the manual workflow when disabled. The application also provides an operational inventory of printing consumables for technicians.</w:t>
      </w:r>
    </w:p>
    <w:p>
      <w:r>
        <w:t>After acceptance, the requester receives the Poster ID and manually creates the corresponding TDX ticket. A technician is assigned the ticket, uses the Poster ID to locate the files, and completes the physical workflow.</w:t>
      </w:r>
    </w:p>
    <w:p>
      <w:pPr>
        <w:pStyle w:val="Heading1"/>
      </w:pPr>
      <w:r>
        <w:t>2. Authorized Flow</w:t>
      </w:r>
    </w:p>
    <w:p>
      <w:pPr>
        <w:ind w:left="360"/>
      </w:pPr>
      <w:r>
        <w:rPr>
          <w:rFonts w:ascii="Consolas" w:hAnsi="Consolas"/>
          <w:sz w:val="17"/>
        </w:rPr>
        <w:t>Student/Staff → Guidance → Form/Upload → Preflight → Acceptance → Poster ID + Date In → SQL Server + Shared Directory → Confirmation → Manual TDX Ticket → Technician → Received → Printed → Laminated if applicable → Notified → Pickup</w:t>
      </w:r>
    </w:p>
    <w:p>
      <w:pPr>
        <w:pStyle w:val="Heading1"/>
      </w:pPr>
      <w:r>
        <w:t>3. Final Functional Rules</w:t>
      </w:r>
    </w:p>
    <w:tbl>
      <w:tblPr>
        <w:tblStyle w:val="TableGrid"/>
        <w:tblW w:type="auto" w:w="0"/>
        <w:tblLook w:firstColumn="1" w:firstRow="1" w:lastColumn="0" w:lastRow="0" w:noHBand="0" w:noVBand="1" w:val="04A0"/>
      </w:tblPr>
      <w:tblGrid>
        <w:gridCol w:w="5112"/>
        <w:gridCol w:w="5112"/>
      </w:tblGrid>
      <w:tr>
        <w:tc>
          <w:tcPr>
            <w:tcW w:type="dxa" w:w="5112"/>
          </w:tcPr>
          <w:p>
            <w:r>
              <w:rPr>
                <w:b/>
              </w:rPr>
              <w:t>Area</w:t>
            </w:r>
          </w:p>
        </w:tc>
        <w:tc>
          <w:tcPr>
            <w:tcW w:type="dxa" w:w="5112"/>
          </w:tcPr>
          <w:p>
            <w:r>
              <w:rPr>
                <w:b/>
              </w:rPr>
              <w:t>Rule</w:t>
            </w:r>
          </w:p>
        </w:tc>
      </w:tr>
      <w:tr>
        <w:tc>
          <w:tcPr>
            <w:tcW w:type="dxa" w:w="5112"/>
          </w:tcPr>
          <w:p>
            <w:r>
              <w:t>Technology</w:t>
            </w:r>
          </w:p>
        </w:tc>
        <w:tc>
          <w:tcPr>
            <w:tcW w:type="dxa" w:w="5112"/>
          </w:tcPr>
          <w:p>
            <w:r>
              <w:t>Blazor, C#, ASP.NET Core and SQL Server.</w:t>
            </w:r>
          </w:p>
        </w:tc>
      </w:tr>
      <w:tr>
        <w:tc>
          <w:tcPr>
            <w:tcW w:type="dxa" w:w="5112"/>
          </w:tcPr>
          <w:p>
            <w:r>
              <w:t>Users</w:t>
            </w:r>
          </w:p>
        </w:tc>
        <w:tc>
          <w:tcPr>
            <w:tcW w:type="dxa" w:w="5112"/>
          </w:tcPr>
          <w:p>
            <w:r>
              <w:t>Students and staff.</w:t>
            </w:r>
          </w:p>
        </w:tc>
      </w:tr>
      <w:tr>
        <w:tc>
          <w:tcPr>
            <w:tcW w:type="dxa" w:w="5112"/>
          </w:tcPr>
          <w:p>
            <w:r>
              <w:t>Poster</w:t>
            </w:r>
          </w:p>
        </w:tc>
        <w:tc>
          <w:tcPr>
            <w:tcW w:type="dxa" w:w="5112"/>
          </w:tcPr>
          <w:p>
            <w:r>
              <w:t>One page/slide only.</w:t>
            </w:r>
          </w:p>
        </w:tc>
      </w:tr>
      <w:tr>
        <w:tc>
          <w:tcPr>
            <w:tcW w:type="dxa" w:w="5112"/>
          </w:tcPr>
          <w:p>
            <w:r>
              <w:t>PDF</w:t>
            </w:r>
          </w:p>
        </w:tc>
        <w:tc>
          <w:tcPr>
            <w:tcW w:type="dxa" w:w="5112"/>
          </w:tcPr>
          <w:p>
            <w:r>
              <w:t>Exactly one page.</w:t>
            </w:r>
          </w:p>
        </w:tc>
      </w:tr>
      <w:tr>
        <w:tc>
          <w:tcPr>
            <w:tcW w:type="dxa" w:w="5112"/>
          </w:tcPr>
          <w:p>
            <w:r>
              <w:t>PowerPoint</w:t>
            </w:r>
          </w:p>
        </w:tc>
        <w:tc>
          <w:tcPr>
            <w:tcW w:type="dxa" w:w="5112"/>
          </w:tcPr>
          <w:p>
            <w:r>
              <w:t>Exactly one slide.</w:t>
            </w:r>
          </w:p>
        </w:tc>
      </w:tr>
      <w:tr>
        <w:tc>
          <w:tcPr>
            <w:tcW w:type="dxa" w:w="5112"/>
          </w:tcPr>
          <w:p>
            <w:r>
              <w:t>Width</w:t>
            </w:r>
          </w:p>
        </w:tc>
        <w:tc>
          <w:tcPr>
            <w:tcW w:type="dxa" w:w="5112"/>
          </w:tcPr>
          <w:p>
            <w:r>
              <w:t>Maximum 36 inches.</w:t>
            </w:r>
          </w:p>
        </w:tc>
      </w:tr>
      <w:tr>
        <w:tc>
          <w:tcPr>
            <w:tcW w:type="dxa" w:w="5112"/>
          </w:tcPr>
          <w:p>
            <w:r>
              <w:t>Recommended width</w:t>
            </w:r>
          </w:p>
        </w:tc>
        <w:tc>
          <w:tcPr>
            <w:tcW w:type="dxa" w:w="5112"/>
          </w:tcPr>
          <w:p>
            <w:r>
              <w:t>36 inches is the usual/recommended width; not a mandatory exact width.</w:t>
            </w:r>
          </w:p>
        </w:tc>
      </w:tr>
      <w:tr>
        <w:tc>
          <w:tcPr>
            <w:tcW w:type="dxa" w:w="5112"/>
          </w:tcPr>
          <w:p>
            <w:r>
              <w:t>Length</w:t>
            </w:r>
          </w:p>
        </w:tc>
        <w:tc>
          <w:tcPr>
            <w:tcW w:type="dxa" w:w="5112"/>
          </w:tcPr>
          <w:p>
            <w:r>
              <w:t>Maximum 72 inches.</w:t>
            </w:r>
          </w:p>
        </w:tc>
      </w:tr>
      <w:tr>
        <w:tc>
          <w:tcPr>
            <w:tcW w:type="dxa" w:w="5112"/>
          </w:tcPr>
          <w:p>
            <w:r>
              <w:t>Orientation</w:t>
            </w:r>
          </w:p>
        </w:tc>
        <w:tc>
          <w:tcPr>
            <w:tcW w:type="dxa" w:w="5112"/>
          </w:tcPr>
          <w:p>
            <w:r>
              <w:t>Internal processing is vertical. If the file is horizontal, the application internally normalizes/autorotates it as needed for dimension evaluation. Not a user option.</w:t>
            </w:r>
          </w:p>
        </w:tc>
      </w:tr>
      <w:tr>
        <w:tc>
          <w:tcPr>
            <w:tcW w:type="dxa" w:w="5112"/>
          </w:tcPr>
          <w:p>
            <w:r>
              <w:t>Formats</w:t>
            </w:r>
          </w:p>
        </w:tc>
        <w:tc>
          <w:tcPr>
            <w:tcW w:type="dxa" w:w="5112"/>
          </w:tcPr>
          <w:p>
            <w:r>
              <w:t>PDF and PPTX.</w:t>
            </w:r>
          </w:p>
        </w:tc>
      </w:tr>
      <w:tr>
        <w:tc>
          <w:tcPr>
            <w:tcW w:type="dxa" w:w="5112"/>
          </w:tcPr>
          <w:p>
            <w:r>
              <w:t>Upload</w:t>
            </w:r>
          </w:p>
        </w:tc>
        <w:tc>
          <w:tcPr>
            <w:tcW w:type="dxa" w:w="5112"/>
          </w:tcPr>
          <w:p>
            <w:r>
              <w:t>Drag-and-drop or normal file selection.</w:t>
            </w:r>
          </w:p>
        </w:tc>
      </w:tr>
      <w:tr>
        <w:tc>
          <w:tcPr>
            <w:tcW w:type="dxa" w:w="5112"/>
          </w:tcPr>
          <w:p>
            <w:r>
              <w:t>Preflight</w:t>
            </w:r>
          </w:p>
        </w:tc>
        <w:tc>
          <w:tcPr>
            <w:tcW w:type="dxa" w:w="5112"/>
          </w:tcPr>
          <w:p>
            <w:r>
              <w:t>Inspect actual content, format, page/slide count and dimensions.</w:t>
            </w:r>
          </w:p>
        </w:tc>
      </w:tr>
      <w:tr>
        <w:tc>
          <w:tcPr>
            <w:tcW w:type="dxa" w:w="5112"/>
          </w:tcPr>
          <w:p>
            <w:r>
              <w:t>TDX</w:t>
            </w:r>
          </w:p>
        </w:tc>
        <w:tc>
          <w:tcPr>
            <w:tcW w:type="dxa" w:w="5112"/>
          </w:tcPr>
          <w:p>
            <w:r>
              <w:t>No automatic integration.</w:t>
            </w:r>
          </w:p>
        </w:tc>
      </w:tr>
      <w:tr>
        <w:tc>
          <w:tcPr>
            <w:tcW w:type="dxa" w:w="5112"/>
          </w:tcPr>
          <w:p>
            <w:r>
              <w:t>Printing</w:t>
            </w:r>
          </w:p>
        </w:tc>
        <w:tc>
          <w:tcPr>
            <w:tcW w:type="dxa" w:w="5112"/>
          </w:tcPr>
          <w:p>
            <w:r>
              <w:t>The application does not print or control the plotter.</w:t>
            </w:r>
          </w:p>
        </w:tc>
      </w:tr>
      <w:tr>
        <w:tc>
          <w:tcPr>
            <w:tcW w:type="dxa" w:w="5112"/>
          </w:tcPr>
          <w:p>
            <w:r>
              <w:t>Informational SLA</w:t>
            </w:r>
          </w:p>
        </w:tc>
        <w:tc>
          <w:tcPr>
            <w:tcW w:type="dxa" w:w="5112"/>
          </w:tcPr>
          <w:p>
            <w:r>
              <w:t>After acceptance, the requester is told the poster will be printed within the next 48 hours.</w:t>
            </w:r>
          </w:p>
        </w:tc>
      </w:tr>
    </w:tbl>
    <w:p>
      <w:pPr>
        <w:pStyle w:val="ListBullet"/>
      </w:pPr>
      <w:r>
        <w:t>Alerts: show technicians which consumables are depleted, below the configured threshold, or approaching expiration when an expiration date exists.</w:t>
      </w:r>
    </w:p>
    <w:p>
      <w:pPr>
        <w:pStyle w:val="ListBullet"/>
      </w:pPr>
      <w:r>
        <w:t>Lamination: inventory must support all identified compatible materials authorized for the Eagle 105; the intended workflow laminates both faces. Initially registered materials may start with quantity 0 and status Depleted.</w:t>
      </w:r>
    </w:p>
    <w:p>
      <w:pPr>
        <w:pStyle w:val="ListBullet"/>
      </w:pPr>
      <w:r>
        <w:t>Authorized photo paper: HP Photo Paper / Photo Paper Gloss C6814A, 36 inches, High Gloss; expiration handling follows the actual material data when registered.</w:t>
      </w:r>
    </w:p>
    <w:p>
      <w:pPr>
        <w:pStyle w:val="ListBullet"/>
      </w:pPr>
      <w:r>
        <w:t>Authorized paper: HP Bright White Inkjet Paper C1861A, 36 × 150 ft, 90 g/m², 4.7 mil / 119 microns; no expiration date required.</w:t>
      </w:r>
    </w:p>
    <w:p>
      <w:pPr>
        <w:pStyle w:val="ListBullet"/>
      </w:pPr>
      <w:r>
        <w:t>Authorized cartridges: MK Matte Black C9403A, PK Photo Black C9370A, B Blue C9371A, M Magenta C9372A, Y Yellow C9373A, and G Gray C9374A; stated capacity: 130 ml. Cartridges require an expiration date.</w:t>
      </w:r>
    </w:p>
    <w:p>
      <w:pPr/>
      <w:r>
        <w:t>The technician area includes an operational inventory for cartridges, paper, and laminating materials. Each consumable maintains current quantity, status, and, when applicable, expiration date. Low-stock and critical thresholds are configurable and compared with current quantity.</w:t>
      </w:r>
    </w:p>
    <w:p>
      <w:pPr>
        <w:pStyle w:val="Heading2"/>
      </w:pPr>
      <w:r>
        <w:t>3.1 New Capability — Printing Consumables Inventory</w:t>
      </w:r>
    </w:p>
    <w:p>
      <w:pPr>
        <w:pStyle w:val="Heading1"/>
      </w:pPr>
      <w:r>
        <w:t>4. Requester Experience</w:t>
      </w:r>
    </w:p>
    <w:p>
      <w:pPr>
        <w:pStyle w:val="Heading2"/>
      </w:pPr>
      <w:r>
        <w:t>4.1 Guidance and preparation</w:t>
      </w:r>
    </w:p>
    <w:p>
      <w:pPr>
        <w:pStyle w:val="ListBullet"/>
      </w:pPr>
      <w:r>
        <w:t>Emphasize 36 inches as the usual/recommended width.</w:t>
      </w:r>
    </w:p>
    <w:p>
      <w:pPr>
        <w:pStyle w:val="ListBullet"/>
      </w:pPr>
      <w:r>
        <w:t>Explain the 36-inch width maximum and 72-inch length maximum.</w:t>
      </w:r>
    </w:p>
    <w:p>
      <w:pPr>
        <w:pStyle w:val="ListBullet"/>
      </w:pPr>
      <w:r>
        <w:t>Use photos, examples, videos and templates where useful.</w:t>
      </w:r>
    </w:p>
    <w:p>
      <w:pPr>
        <w:pStyle w:val="ListBullet"/>
      </w:pPr>
      <w:r>
        <w:t>Include the supplied printer-preview image as visual guidance.</w:t>
      </w:r>
    </w:p>
    <w:p>
      <w:pPr>
        <w:pStyle w:val="ListBullet"/>
      </w:pPr>
      <w:r>
        <w:t>Provide an accessible alternative to drag-and-drop.</w:t>
      </w:r>
    </w:p>
    <w:p>
      <w:pPr>
        <w:pStyle w:val="Heading2"/>
      </w:pPr>
      <w:r>
        <w:t>4.2 Form</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Field</w:t>
            </w:r>
          </w:p>
        </w:tc>
        <w:tc>
          <w:tcPr>
            <w:tcW w:type="dxa" w:w="3408"/>
          </w:tcPr>
          <w:p>
            <w:r>
              <w:rPr>
                <w:b/>
              </w:rPr>
              <w:t>Authority</w:t>
            </w:r>
          </w:p>
        </w:tc>
        <w:tc>
          <w:tcPr>
            <w:tcW w:type="dxa" w:w="3408"/>
          </w:tcPr>
          <w:p>
            <w:r>
              <w:rPr>
                <w:b/>
              </w:rPr>
              <w:t>Control</w:t>
            </w:r>
          </w:p>
        </w:tc>
      </w:tr>
      <w:tr>
        <w:tc>
          <w:tcPr>
            <w:tcW w:type="dxa" w:w="3408"/>
          </w:tcPr>
          <w:p>
            <w:r>
              <w:t>Name</w:t>
            </w:r>
          </w:p>
        </w:tc>
        <w:tc>
          <w:tcPr>
            <w:tcW w:type="dxa" w:w="3408"/>
          </w:tcPr>
          <w:p>
            <w:r>
              <w:t>Student/Staff</w:t>
            </w:r>
          </w:p>
        </w:tc>
        <w:tc>
          <w:tcPr>
            <w:tcW w:type="dxa" w:w="3408"/>
          </w:tcPr>
          <w:p>
            <w:r>
              <w:t>Textbox</w:t>
            </w:r>
          </w:p>
        </w:tc>
      </w:tr>
      <w:tr>
        <w:tc>
          <w:tcPr>
            <w:tcW w:type="dxa" w:w="3408"/>
          </w:tcPr>
          <w:p>
            <w:r>
              <w:t>Mentor</w:t>
            </w:r>
          </w:p>
        </w:tc>
        <w:tc>
          <w:tcPr>
            <w:tcW w:type="dxa" w:w="3408"/>
          </w:tcPr>
          <w:p>
            <w:r>
              <w:t>Student/Staff</w:t>
            </w:r>
          </w:p>
        </w:tc>
        <w:tc>
          <w:tcPr>
            <w:tcW w:type="dxa" w:w="3408"/>
          </w:tcPr>
          <w:p>
            <w:r>
              <w:t>Textbox; required only when the event requires it.</w:t>
            </w:r>
          </w:p>
        </w:tc>
      </w:tr>
      <w:tr>
        <w:tc>
          <w:tcPr>
            <w:tcW w:type="dxa" w:w="3408"/>
          </w:tcPr>
          <w:p>
            <w:r>
              <w:t>Department</w:t>
            </w:r>
          </w:p>
        </w:tc>
        <w:tc>
          <w:tcPr>
            <w:tcW w:type="dxa" w:w="3408"/>
          </w:tcPr>
          <w:p>
            <w:r>
              <w:t>Student/Staff</w:t>
            </w:r>
          </w:p>
        </w:tc>
        <w:tc>
          <w:tcPr>
            <w:tcW w:type="dxa" w:w="3408"/>
          </w:tcPr>
          <w:p>
            <w:r>
              <w:t>Dropdown; final option list supplied later.</w:t>
            </w:r>
          </w:p>
        </w:tc>
      </w:tr>
      <w:tr>
        <w:tc>
          <w:tcPr>
            <w:tcW w:type="dxa" w:w="3408"/>
          </w:tcPr>
          <w:p>
            <w:r>
              <w:t>Room</w:t>
            </w:r>
          </w:p>
        </w:tc>
        <w:tc>
          <w:tcPr>
            <w:tcW w:type="dxa" w:w="3408"/>
          </w:tcPr>
          <w:p>
            <w:r>
              <w:t>Student/Staff</w:t>
            </w:r>
          </w:p>
        </w:tc>
        <w:tc>
          <w:tcPr>
            <w:tcW w:type="dxa" w:w="3408"/>
          </w:tcPr>
          <w:p>
            <w:r>
              <w:t>Textbox</w:t>
            </w:r>
          </w:p>
        </w:tc>
      </w:tr>
      <w:tr>
        <w:tc>
          <w:tcPr>
            <w:tcW w:type="dxa" w:w="3408"/>
          </w:tcPr>
          <w:p>
            <w:r>
              <w:t>Phone</w:t>
            </w:r>
          </w:p>
        </w:tc>
        <w:tc>
          <w:tcPr>
            <w:tcW w:type="dxa" w:w="3408"/>
          </w:tcPr>
          <w:p>
            <w:r>
              <w:t>Student/Staff</w:t>
            </w:r>
          </w:p>
        </w:tc>
        <w:tc>
          <w:tcPr>
            <w:tcW w:type="dxa" w:w="3408"/>
          </w:tcPr>
          <w:p>
            <w:r>
              <w:t>Textbox</w:t>
            </w:r>
          </w:p>
        </w:tc>
      </w:tr>
      <w:tr>
        <w:tc>
          <w:tcPr>
            <w:tcW w:type="dxa" w:w="3408"/>
          </w:tcPr>
          <w:p>
            <w:r>
              <w:t>Email</w:t>
            </w:r>
          </w:p>
        </w:tc>
        <w:tc>
          <w:tcPr>
            <w:tcW w:type="dxa" w:w="3408"/>
          </w:tcPr>
          <w:p>
            <w:r>
              <w:t>Student/Staff</w:t>
            </w:r>
          </w:p>
        </w:tc>
        <w:tc>
          <w:tcPr>
            <w:tcW w:type="dxa" w:w="3408"/>
          </w:tcPr>
          <w:p>
            <w:r>
              <w:t>Textbox</w:t>
            </w:r>
          </w:p>
        </w:tc>
      </w:tr>
      <w:tr>
        <w:tc>
          <w:tcPr>
            <w:tcW w:type="dxa" w:w="3408"/>
          </w:tcPr>
          <w:p>
            <w:r>
              <w:t>Reason / Event</w:t>
            </w:r>
          </w:p>
        </w:tc>
        <w:tc>
          <w:tcPr>
            <w:tcW w:type="dxa" w:w="3408"/>
          </w:tcPr>
          <w:p>
            <w:r>
              <w:t>Student/Staff</w:t>
            </w:r>
          </w:p>
        </w:tc>
        <w:tc>
          <w:tcPr>
            <w:tcW w:type="dxa" w:w="3408"/>
          </w:tcPr>
          <w:p>
            <w:r>
              <w:t>Dropdown; may be blank.</w:t>
            </w:r>
          </w:p>
        </w:tc>
      </w:tr>
      <w:tr>
        <w:tc>
          <w:tcPr>
            <w:tcW w:type="dxa" w:w="3408"/>
          </w:tcPr>
          <w:p>
            <w:r>
              <w:t>Lamination</w:t>
            </w:r>
          </w:p>
        </w:tc>
        <w:tc>
          <w:tcPr>
            <w:tcW w:type="dxa" w:w="3408"/>
          </w:tcPr>
          <w:p>
            <w:r>
              <w:t>Student/Staff</w:t>
            </w:r>
          </w:p>
        </w:tc>
        <w:tc>
          <w:tcPr>
            <w:tcW w:type="dxa" w:w="3408"/>
          </w:tcPr>
          <w:p>
            <w:r>
              <w:t>Checkbox.</w:t>
            </w:r>
          </w:p>
        </w:tc>
      </w:tr>
      <w:tr>
        <w:tc>
          <w:tcPr>
            <w:tcW w:type="dxa" w:w="3408"/>
          </w:tcPr>
          <w:p>
            <w:r>
              <w:t>Poster</w:t>
            </w:r>
          </w:p>
        </w:tc>
        <w:tc>
          <w:tcPr>
            <w:tcW w:type="dxa" w:w="3408"/>
          </w:tcPr>
          <w:p>
            <w:r>
              <w:t>Student/Staff</w:t>
            </w:r>
          </w:p>
        </w:tc>
        <w:tc>
          <w:tcPr>
            <w:tcW w:type="dxa" w:w="3408"/>
          </w:tcPr>
          <w:p>
            <w:r>
              <w:t>Separate uploader; PDF or PPTX.</w:t>
            </w:r>
          </w:p>
        </w:tc>
      </w:tr>
      <w:tr>
        <w:tc>
          <w:tcPr>
            <w:tcW w:type="dxa" w:w="3408"/>
          </w:tcPr>
          <w:p>
            <w:r>
              <w:t>Approval Sheet</w:t>
            </w:r>
          </w:p>
        </w:tc>
        <w:tc>
          <w:tcPr>
            <w:tcW w:type="dxa" w:w="3408"/>
          </w:tcPr>
          <w:p>
            <w:r>
              <w:t>Student/Staff</w:t>
            </w:r>
          </w:p>
        </w:tc>
        <w:tc>
          <w:tcPr>
            <w:tcW w:type="dxa" w:w="3408"/>
          </w:tcPr>
          <w:p>
            <w:r>
              <w:t>Separate uploader; shown and required when the event requires it.</w:t>
            </w:r>
          </w:p>
        </w:tc>
      </w:tr>
    </w:tbl>
    <w:p>
      <w:pPr>
        <w:pStyle w:val="Heading2"/>
      </w:pPr>
      <w:r>
        <w:t>4.3 Approval Sheet</w:t>
      </w:r>
    </w:p>
    <w:p>
      <w:r>
        <w:t>The Approval Sheet is a separate PDF document. Its requirement depends on the selected event.</w:t>
      </w:r>
    </w:p>
    <w:p>
      <w:pPr>
        <w:ind w:left="360"/>
      </w:pPr>
      <w:r>
        <w:rPr>
          <w:rFonts w:ascii="Consolas" w:hAnsi="Consolas"/>
          <w:sz w:val="17"/>
        </w:rPr>
        <w:t>RequiresApprovalSheet = false → not required</w:t>
        <w:br/>
        <w:t>RequiresApprovalSheet = true → show uploader → PDF required → block continuation until validated → ApprovalSheetUploaded = true</w:t>
      </w:r>
    </w:p>
    <w:p>
      <w:r>
        <w:t>ApprovalSheetUploaded is a database boolean. The physical PDF remains a separate stored document.</w:t>
      </w:r>
    </w:p>
    <w:p>
      <w:pPr>
        <w:pStyle w:val="Heading1"/>
      </w:pPr>
      <w:r>
        <w:t>5. Poster Validation</w:t>
      </w:r>
    </w:p>
    <w:tbl>
      <w:tblPr>
        <w:tblStyle w:val="TableGrid"/>
        <w:tblW w:type="auto" w:w="0"/>
        <w:tblLook w:firstColumn="1" w:firstRow="1" w:lastColumn="0" w:lastRow="0" w:noHBand="0" w:noVBand="1" w:val="04A0"/>
      </w:tblPr>
      <w:tblGrid>
        <w:gridCol w:w="5112"/>
        <w:gridCol w:w="5112"/>
      </w:tblGrid>
      <w:tr>
        <w:tc>
          <w:tcPr>
            <w:tcW w:type="dxa" w:w="5112"/>
          </w:tcPr>
          <w:p>
            <w:r>
              <w:rPr>
                <w:b/>
              </w:rPr>
              <w:t>Validation</w:t>
            </w:r>
          </w:p>
        </w:tc>
        <w:tc>
          <w:tcPr>
            <w:tcW w:type="dxa" w:w="5112"/>
          </w:tcPr>
          <w:p>
            <w:r>
              <w:rPr>
                <w:b/>
              </w:rPr>
              <w:t>Rule</w:t>
            </w:r>
          </w:p>
        </w:tc>
      </w:tr>
      <w:tr>
        <w:tc>
          <w:tcPr>
            <w:tcW w:type="dxa" w:w="5112"/>
          </w:tcPr>
          <w:p>
            <w:r>
              <w:t>Format</w:t>
            </w:r>
          </w:p>
        </w:tc>
        <w:tc>
          <w:tcPr>
            <w:tcW w:type="dxa" w:w="5112"/>
          </w:tcPr>
          <w:p>
            <w:r>
              <w:t>PDF or PPTX.</w:t>
            </w:r>
          </w:p>
        </w:tc>
      </w:tr>
      <w:tr>
        <w:tc>
          <w:tcPr>
            <w:tcW w:type="dxa" w:w="5112"/>
          </w:tcPr>
          <w:p>
            <w:r>
              <w:t>Pages/slides</w:t>
            </w:r>
          </w:p>
        </w:tc>
        <w:tc>
          <w:tcPr>
            <w:tcW w:type="dxa" w:w="5112"/>
          </w:tcPr>
          <w:p>
            <w:r>
              <w:t>Exactly 1.</w:t>
            </w:r>
          </w:p>
        </w:tc>
      </w:tr>
      <w:tr>
        <w:tc>
          <w:tcPr>
            <w:tcW w:type="dxa" w:w="5112"/>
          </w:tcPr>
          <w:p>
            <w:r>
              <w:t>Width</w:t>
            </w:r>
          </w:p>
        </w:tc>
        <w:tc>
          <w:tcPr>
            <w:tcW w:type="dxa" w:w="5112"/>
          </w:tcPr>
          <w:p>
            <w:r>
              <w:t>≤ 36 inches.</w:t>
            </w:r>
          </w:p>
        </w:tc>
      </w:tr>
      <w:tr>
        <w:tc>
          <w:tcPr>
            <w:tcW w:type="dxa" w:w="5112"/>
          </w:tcPr>
          <w:p>
            <w:r>
              <w:t>Length</w:t>
            </w:r>
          </w:p>
        </w:tc>
        <w:tc>
          <w:tcPr>
            <w:tcW w:type="dxa" w:w="5112"/>
          </w:tcPr>
          <w:p>
            <w:r>
              <w:t>≤ 72 inches.</w:t>
            </w:r>
          </w:p>
        </w:tc>
      </w:tr>
      <w:tr>
        <w:tc>
          <w:tcPr>
            <w:tcW w:type="dxa" w:w="5112"/>
          </w:tcPr>
          <w:p>
            <w:r>
              <w:t>Corrupt/unreadable</w:t>
            </w:r>
          </w:p>
        </w:tc>
        <w:tc>
          <w:tcPr>
            <w:tcW w:type="dxa" w:w="5112"/>
          </w:tcPr>
          <w:p>
            <w:r>
              <w:t>Reject, explain reason, request re-upload.</w:t>
            </w:r>
          </w:p>
        </w:tc>
      </w:tr>
      <w:tr>
        <w:tc>
          <w:tcPr>
            <w:tcW w:type="dxa" w:w="5112"/>
          </w:tcPr>
          <w:p>
            <w:r>
              <w:t>Unsupported format</w:t>
            </w:r>
          </w:p>
        </w:tc>
        <w:tc>
          <w:tcPr>
            <w:tcW w:type="dxa" w:w="5112"/>
          </w:tcPr>
          <w:p>
            <w:r>
              <w:t>Reject, explain reason, request re-upload.</w:t>
            </w:r>
          </w:p>
        </w:tc>
      </w:tr>
      <w:tr>
        <w:tc>
          <w:tcPr>
            <w:tcW w:type="dxa" w:w="5112"/>
          </w:tcPr>
          <w:p>
            <w:r>
              <w:t>Invalid dimensions</w:t>
            </w:r>
          </w:p>
        </w:tc>
        <w:tc>
          <w:tcPr>
            <w:tcW w:type="dxa" w:w="5112"/>
          </w:tcPr>
          <w:p>
            <w:r>
              <w:t>Reject, explain reason, request re-upload.</w:t>
            </w:r>
          </w:p>
        </w:tc>
      </w:tr>
    </w:tbl>
    <w:p>
      <w:r>
        <w:t>Preflight does not guarantee visual or physical print quality; it verifies the authorized technical rules.</w:t>
      </w:r>
    </w:p>
    <w:p>
      <w:pPr>
        <w:pStyle w:val="Heading1"/>
      </w:pPr>
      <w:r>
        <w:t>6. Poster ID and Date In</w:t>
      </w:r>
    </w:p>
    <w:p>
      <w:r>
        <w:t>On acceptance, the system automatically generates a unique, sequential, immutable Poster ID. The requester does not enter it. Recommended format: POSTER-YYYY-NNNNNN. It is different from the internal SQL Server ID and is the number used in TDX. Date In is automatically generated at acceptance.</w:t>
      </w:r>
    </w:p>
    <w:p>
      <w:pPr>
        <w:pStyle w:val="Heading1"/>
      </w:pPr>
      <w:r>
        <w:t>7. Information Model and Authority</w:t>
      </w:r>
    </w:p>
    <w:p>
      <w:pPr>
        <w:pStyle w:val="Heading2"/>
      </w:pPr>
      <w:r>
        <w:t>7.1 Requester</w:t>
      </w:r>
    </w:p>
    <w:p>
      <w:pPr>
        <w:pStyle w:val="ListBullet"/>
      </w:pPr>
      <w:r>
        <w:t>Name</w:t>
      </w:r>
    </w:p>
    <w:p>
      <w:pPr>
        <w:pStyle w:val="ListBullet"/>
      </w:pPr>
      <w:r>
        <w:t>Mentor when applicable</w:t>
      </w:r>
    </w:p>
    <w:p>
      <w:pPr>
        <w:pStyle w:val="ListBullet"/>
      </w:pPr>
      <w:r>
        <w:t>Department</w:t>
      </w:r>
    </w:p>
    <w:p>
      <w:pPr>
        <w:pStyle w:val="ListBullet"/>
      </w:pPr>
      <w:r>
        <w:t>Room</w:t>
      </w:r>
    </w:p>
    <w:p>
      <w:pPr>
        <w:pStyle w:val="ListBullet"/>
      </w:pPr>
      <w:r>
        <w:t>Phone</w:t>
      </w:r>
    </w:p>
    <w:p>
      <w:pPr>
        <w:pStyle w:val="ListBullet"/>
      </w:pPr>
      <w:r>
        <w:t>Email</w:t>
      </w:r>
    </w:p>
    <w:p>
      <w:pPr>
        <w:pStyle w:val="ListBullet"/>
      </w:pPr>
      <w:r>
        <w:t>Reason/Event</w:t>
      </w:r>
    </w:p>
    <w:p>
      <w:pPr>
        <w:pStyle w:val="ListBullet"/>
      </w:pPr>
      <w:r>
        <w:t>LaminationRequested</w:t>
      </w:r>
    </w:p>
    <w:p>
      <w:pPr>
        <w:pStyle w:val="ListBullet"/>
      </w:pPr>
      <w:r>
        <w:t>Poster</w:t>
      </w:r>
    </w:p>
    <w:p>
      <w:pPr>
        <w:pStyle w:val="ListBullet"/>
      </w:pPr>
      <w:r>
        <w:t>Approval Sheet when applicable</w:t>
      </w:r>
    </w:p>
    <w:p>
      <w:pPr>
        <w:pStyle w:val="Heading2"/>
      </w:pPr>
      <w:r>
        <w:t>7.2 System</w:t>
      </w:r>
    </w:p>
    <w:p>
      <w:pPr>
        <w:pStyle w:val="ListBullet"/>
      </w:pPr>
      <w:r>
        <w:t>Internal PosterRequestId</w:t>
      </w:r>
    </w:p>
    <w:p>
      <w:pPr>
        <w:pStyle w:val="ListBullet"/>
      </w:pPr>
      <w:r>
        <w:t>Poster ID</w:t>
      </w:r>
    </w:p>
    <w:p>
      <w:pPr>
        <w:pStyle w:val="ListBullet"/>
      </w:pPr>
      <w:r>
        <w:t>Date In</w:t>
      </w:r>
    </w:p>
    <w:p>
      <w:pPr>
        <w:pStyle w:val="ListBullet"/>
      </w:pPr>
      <w:r>
        <w:t>ApprovalSheetUploaded</w:t>
      </w:r>
    </w:p>
    <w:p>
      <w:pPr>
        <w:pStyle w:val="ListBullet"/>
      </w:pPr>
      <w:r>
        <w:t>File metadata</w:t>
      </w:r>
    </w:p>
    <w:p>
      <w:pPr>
        <w:pStyle w:val="ListBullet"/>
      </w:pPr>
      <w:r>
        <w:t>Preflight result</w:t>
      </w:r>
    </w:p>
    <w:p>
      <w:pPr>
        <w:pStyle w:val="ListBullet"/>
      </w:pPr>
      <w:r>
        <w:t>Storage location</w:t>
      </w:r>
    </w:p>
    <w:p>
      <w:pPr>
        <w:pStyle w:val="Heading2"/>
      </w:pPr>
      <w:r>
        <w:t>7.3 Technician</w:t>
      </w:r>
    </w:p>
    <w:p>
      <w:pPr>
        <w:pStyle w:val="ListBullet"/>
      </w:pPr>
      <w:r>
        <w:t>IT Person</w:t>
      </w:r>
    </w:p>
    <w:p>
      <w:pPr>
        <w:pStyle w:val="ListBullet"/>
      </w:pPr>
      <w:r>
        <w:t>Received</w:t>
      </w:r>
    </w:p>
    <w:p>
      <w:pPr>
        <w:pStyle w:val="ListBullet"/>
      </w:pPr>
      <w:r>
        <w:t>Printed</w:t>
      </w:r>
    </w:p>
    <w:p>
      <w:pPr>
        <w:pStyle w:val="ListBullet"/>
      </w:pPr>
      <w:r>
        <w:t>Laminated</w:t>
      </w:r>
    </w:p>
    <w:p>
      <w:pPr>
        <w:pStyle w:val="ListBullet"/>
      </w:pPr>
      <w:r>
        <w:t>Notified</w:t>
      </w:r>
    </w:p>
    <w:p>
      <w:pPr>
        <w:pStyle w:val="ListBullet"/>
      </w:pPr>
      <w:r>
        <w:t>Date Out</w:t>
      </w:r>
    </w:p>
    <w:p>
      <w:pPr>
        <w:pStyle w:val="ListBullet"/>
      </w:pPr>
      <w:r>
        <w:t>Picked Up By</w:t>
      </w:r>
    </w:p>
    <w:p>
      <w:pPr>
        <w:pStyle w:val="ListBullet"/>
      </w:pPr>
      <w:r>
        <w:t>Comments</w:t>
      </w:r>
    </w:p>
    <w:p>
      <w:pPr>
        <w:pStyle w:val="Heading2"/>
      </w:pPr>
      <w:r>
        <w:t>7.4 Removed fields</w:t>
      </w:r>
    </w:p>
    <w:p>
      <w:pPr>
        <w:pStyle w:val="ListBullet"/>
      </w:pPr>
      <w:r>
        <w:t>Overdue</w:t>
      </w:r>
    </w:p>
    <w:p>
      <w:pPr>
        <w:pStyle w:val="ListBullet"/>
      </w:pPr>
      <w:r>
        <w:t>Paid Fee</w:t>
      </w:r>
    </w:p>
    <w:p>
      <w:pPr>
        <w:pStyle w:val="ListBullet"/>
      </w:pPr>
      <w:r>
        <w:t>FOPAL No</w:t>
      </w:r>
    </w:p>
    <w:p>
      <w:pPr>
        <w:pStyle w:val="ListBullet"/>
      </w:pPr>
      <w:r>
        <w:t>Media: Email / USB / Box</w:t>
      </w:r>
    </w:p>
    <w:p>
      <w:pPr>
        <w:pStyle w:val="Heading1"/>
      </w:pPr>
      <w:r>
        <w:t>8. Technician Workflow</w:t>
      </w:r>
    </w:p>
    <w:p>
      <w:r>
        <w:t>The technician who accepts the ticket owns the operational data and advances sequentially as each task is completed.</w:t>
      </w:r>
    </w:p>
    <w:p>
      <w:pPr>
        <w:ind w:left="360"/>
      </w:pPr>
      <w:r>
        <w:rPr>
          <w:rFonts w:ascii="Consolas" w:hAnsi="Consolas"/>
          <w:sz w:val="17"/>
        </w:rPr>
        <w:t>Received → Printed → Laminated (if LaminationRequested = true) → Notified → Pickup</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Field</w:t>
            </w:r>
          </w:p>
        </w:tc>
        <w:tc>
          <w:tcPr>
            <w:tcW w:type="dxa" w:w="3408"/>
          </w:tcPr>
          <w:p>
            <w:r>
              <w:rPr>
                <w:b/>
              </w:rPr>
              <w:t>Type</w:t>
            </w:r>
          </w:p>
        </w:tc>
        <w:tc>
          <w:tcPr>
            <w:tcW w:type="dxa" w:w="3408"/>
          </w:tcPr>
          <w:p>
            <w:r>
              <w:rPr>
                <w:b/>
              </w:rPr>
              <w:t>When</w:t>
            </w:r>
          </w:p>
        </w:tc>
      </w:tr>
      <w:tr>
        <w:tc>
          <w:tcPr>
            <w:tcW w:type="dxa" w:w="3408"/>
          </w:tcPr>
          <w:p>
            <w:r>
              <w:t>IT Person</w:t>
            </w:r>
          </w:p>
        </w:tc>
        <w:tc>
          <w:tcPr>
            <w:tcW w:type="dxa" w:w="3408"/>
          </w:tcPr>
          <w:p>
            <w:r>
              <w:t>Textbox</w:t>
            </w:r>
          </w:p>
        </w:tc>
        <w:tc>
          <w:tcPr>
            <w:tcW w:type="dxa" w:w="3408"/>
          </w:tcPr>
          <w:p>
            <w:r>
              <w:t>When accepting/processing.</w:t>
            </w:r>
          </w:p>
        </w:tc>
      </w:tr>
      <w:tr>
        <w:tc>
          <w:tcPr>
            <w:tcW w:type="dxa" w:w="3408"/>
          </w:tcPr>
          <w:p>
            <w:r>
              <w:t>Received</w:t>
            </w:r>
          </w:p>
        </w:tc>
        <w:tc>
          <w:tcPr>
            <w:tcW w:type="dxa" w:w="3408"/>
          </w:tcPr>
          <w:p>
            <w:r>
              <w:t>Date component</w:t>
            </w:r>
          </w:p>
        </w:tc>
        <w:tc>
          <w:tcPr>
            <w:tcW w:type="dxa" w:w="3408"/>
          </w:tcPr>
          <w:p>
            <w:r>
              <w:t>When received/taken.</w:t>
            </w:r>
          </w:p>
        </w:tc>
      </w:tr>
      <w:tr>
        <w:tc>
          <w:tcPr>
            <w:tcW w:type="dxa" w:w="3408"/>
          </w:tcPr>
          <w:p>
            <w:r>
              <w:t>Printed</w:t>
            </w:r>
          </w:p>
        </w:tc>
        <w:tc>
          <w:tcPr>
            <w:tcW w:type="dxa" w:w="3408"/>
          </w:tcPr>
          <w:p>
            <w:r>
              <w:t>Boolean / Checkbox</w:t>
            </w:r>
          </w:p>
        </w:tc>
        <w:tc>
          <w:tcPr>
            <w:tcW w:type="dxa" w:w="3408"/>
          </w:tcPr>
          <w:p>
            <w:r>
              <w:t>When printing is completed.</w:t>
            </w:r>
          </w:p>
        </w:tc>
      </w:tr>
      <w:tr>
        <w:tc>
          <w:tcPr>
            <w:tcW w:type="dxa" w:w="3408"/>
          </w:tcPr>
          <w:p>
            <w:r>
              <w:t>Laminated</w:t>
            </w:r>
          </w:p>
        </w:tc>
        <w:tc>
          <w:tcPr>
            <w:tcW w:type="dxa" w:w="3408"/>
          </w:tcPr>
          <w:p>
            <w:r>
              <w:t>Boolean / Checkbox</w:t>
            </w:r>
          </w:p>
        </w:tc>
        <w:tc>
          <w:tcPr>
            <w:tcW w:type="dxa" w:w="3408"/>
          </w:tcPr>
          <w:p>
            <w:r>
              <w:t>When lamination is completed if requested.</w:t>
            </w:r>
          </w:p>
        </w:tc>
      </w:tr>
      <w:tr>
        <w:tc>
          <w:tcPr>
            <w:tcW w:type="dxa" w:w="3408"/>
          </w:tcPr>
          <w:p>
            <w:r>
              <w:t>Notified</w:t>
            </w:r>
          </w:p>
        </w:tc>
        <w:tc>
          <w:tcPr>
            <w:tcW w:type="dxa" w:w="3408"/>
          </w:tcPr>
          <w:p>
            <w:r>
              <w:t>Boolean / Checkbox</w:t>
            </w:r>
          </w:p>
        </w:tc>
        <w:tc>
          <w:tcPr>
            <w:tcW w:type="dxa" w:w="3408"/>
          </w:tcPr>
          <w:p>
            <w:r>
              <w:t>After the poster is ready.</w:t>
            </w:r>
          </w:p>
        </w:tc>
      </w:tr>
      <w:tr>
        <w:tc>
          <w:tcPr>
            <w:tcW w:type="dxa" w:w="3408"/>
          </w:tcPr>
          <w:p>
            <w:r>
              <w:t>Date Out</w:t>
            </w:r>
          </w:p>
        </w:tc>
        <w:tc>
          <w:tcPr>
            <w:tcW w:type="dxa" w:w="3408"/>
          </w:tcPr>
          <w:p>
            <w:r>
              <w:t>Date component</w:t>
            </w:r>
          </w:p>
        </w:tc>
        <w:tc>
          <w:tcPr>
            <w:tcW w:type="dxa" w:w="3408"/>
          </w:tcPr>
          <w:p>
            <w:r>
              <w:t>When the poster leaves/is delivered.</w:t>
            </w:r>
          </w:p>
        </w:tc>
      </w:tr>
      <w:tr>
        <w:tc>
          <w:tcPr>
            <w:tcW w:type="dxa" w:w="3408"/>
          </w:tcPr>
          <w:p>
            <w:r>
              <w:t>Picked Up By</w:t>
            </w:r>
          </w:p>
        </w:tc>
        <w:tc>
          <w:tcPr>
            <w:tcW w:type="dxa" w:w="3408"/>
          </w:tcPr>
          <w:p>
            <w:r>
              <w:t>Textbox</w:t>
            </w:r>
          </w:p>
        </w:tc>
        <w:tc>
          <w:tcPr>
            <w:tcW w:type="dxa" w:w="3408"/>
          </w:tcPr>
          <w:p>
            <w:r>
              <w:t>When recording who picked it up.</w:t>
            </w:r>
          </w:p>
        </w:tc>
      </w:tr>
      <w:tr>
        <w:tc>
          <w:tcPr>
            <w:tcW w:type="dxa" w:w="3408"/>
          </w:tcPr>
          <w:p>
            <w:r>
              <w:t>Comments</w:t>
            </w:r>
          </w:p>
        </w:tc>
        <w:tc>
          <w:tcPr>
            <w:tcW w:type="dxa" w:w="3408"/>
          </w:tcPr>
          <w:p>
            <w:r>
              <w:t>Multiline textbox</w:t>
            </w:r>
          </w:p>
        </w:tc>
        <w:tc>
          <w:tcPr>
            <w:tcW w:type="dxa" w:w="3408"/>
          </w:tcPr>
          <w:p>
            <w:r>
              <w:t>Operational notes.</w:t>
            </w:r>
          </w:p>
        </w:tc>
      </w:tr>
    </w:tbl>
    <w:p>
      <w:r>
        <w:t>Stages cannot be skipped. If lamination was not requested, Laminated does not block the process.</w:t>
      </w:r>
    </w:p>
    <w:p>
      <w:pPr>
        <w:pStyle w:val="Heading1"/>
      </w:pPr>
      <w:r>
        <w:t>9. Shared Directory Storage</w:t>
      </w:r>
    </w:p>
    <w:p>
      <w:pPr>
        <w:pStyle w:val="Heading2"/>
      </w:pPr>
      <w:r>
        <w:t>9.1 Folder authority</w:t>
      </w:r>
    </w:p>
    <w:p>
      <w:r>
        <w:t xml:space="preserve">Folder structure, migration from the accepted layout, and the physical move when a poster is marked Printed are defined only in docs/Shared_Storage_Contract_v1.docx (Shared Storage Contract, Version 1.0, 8 October 2026). This roadmap is the sole authority for capability order and status. It is not the authority for folder structure.</w:t>
      </w:r>
    </w:p>
    <w:p>
      <w:r>
        <w:t>The following are superseded and are not authority: a POSTERS parent directory, WITHOUT-EVENT organized by months 01 through 12, an event folder whose children are Poster ID folders, and the empty [Requester Name].txt artifact.</w:t>
      </w:r>
    </w:p>
    <w:p>
      <w:pPr>
        <w:pStyle w:val="Heading2"/>
      </w:pPr>
      <w:r>
        <w:t>9.2 Authorized print folders</w:t>
      </w:r>
    </w:p>
    <w:p>
      <w:r>
        <w:t xml:space="preserve">For every event, the folders are &lt;Event Name&gt; TO BE PRINTED and &lt;Event Name&gt; PRINTED. &lt;Event Name&gt; is the accepted event-folder name: the sanitized event name, one space, and the Date In year. For requests without an event, the folders are WITHOUT-EVENT TO BE PRINTED and WITHOUT-EVENT PRINTED, and the year remains inside each one. Blue represents TO BE PRINTED. Green represents PRINTED.</w:t>
      </w:r>
    </w:p>
    <w:p>
      <w:r>
        <w:t>Unprinted posters belong in the corresponding TO BE PRINTED folder. Posters with Printed = true, including POSTER-2026-000001, migrate directly into the corresponding PRINTED folder. The Shared Storage Contract defines the move of the complete Poster ID directory, the update of every affected StoragePath, and the behavior when the move fails. This amendment does not add, remove, or reorder PHASE 1, PHASE 2, PHASE 3, PHASE 4, PHASE 5, PHASE 6, PHASE 7, PHASE 8, PHASE 9, PHASE 10, and PHASE 11.</w:t>
      </w:r>
    </w:p>
    <w:p>
      <w:pPr>
        <w:pStyle w:val="Heading1"/>
      </w:pPr>
      <w:r>
        <w:t>10. Logical ERD</w:t>
      </w:r>
    </w:p>
    <w:p>
      <w:pPr>
        <w:ind w:left="360"/>
      </w:pPr>
      <w:r>
        <w:rPr>
          <w:rFonts w:ascii="Consolas" w:hAnsi="Consolas"/>
          <w:sz w:val="17"/>
        </w:rPr>
        <w:t>Department(DepartmentId PK, Name)</w:t>
        <w:br/>
        <w:t xml:space="preserve">  1:N</w:t>
        <w:br/>
        <w:t>PosterRequest(PosterRequestId PK, PosterId UNIQUE, Name, Mentor NULL, DepartmentId FK, Room, Phone, Email, ReasonId FK NULL, LaminationRequested BIT, ApprovalSheetUploaded BIT, DateIn)</w:t>
        <w:br/>
        <w:t xml:space="preserve">  ├─ 1:1 PosterFile(PosterFileId PK, PosterRequestId FK, OriginalFileName, DetectedFormat, PageCount, Width, Length, StoragePath)</w:t>
        <w:br/>
        <w:t xml:space="preserve">  ├─ 0:1 ApprovalSheet(ApprovalSheetId PK, PosterRequestId FK, FileName, StoragePath)</w:t>
        <w:br/>
        <w:t xml:space="preserve">  └─ 1:1 PosterProcessing(PosterProcessingId PK, PosterRequestId FK UNIQUE, ITPerson, Received, Printed, Laminated, Notified, DateOut, PickedUpBy, Comments)</w:t>
        <w:br/>
        <w:t>Reason(ReasonId PK, Name, RequiresMentor BIT, RequiresApprovalSheet BIT)</w:t>
      </w:r>
    </w:p>
    <w:p>
      <w:pPr>
        <w:pStyle w:val="ListBullet"/>
      </w:pPr>
      <w:r>
        <w:t>Direct Printing must preserve the authorized poster dimensions. Existing presets and sizes created through Custom in the HP driver remain driver authority; the application must not duplicate or invent those presets.</w:t>
      </w:r>
    </w:p>
    <w:p>
      <w:pPr/>
      <w:r>
        <w:t>DirectPrintJob(DirectPrintJobId PK, PosterRequestId FK, Status, Width, Length, Copies, Queue, CreatedAt, SubmittedAt NULL, CompletedAt NULL, FailureReason NULL)</w:t>
      </w:r>
    </w:p>
    <w:p>
      <w:pPr/>
      <w:r>
        <w:t>DirectPrintConfiguration(DirectPrintConfigurationId PK, Enabled, PrinterQueue, PrinterModel, UpdatedBy, UpdatedAt)</w:t>
      </w:r>
    </w:p>
    <w:p>
      <w:pPr>
        <w:pStyle w:val="ListBullet"/>
      </w:pPr>
      <w:r>
        <w:t>Inventory is the system authority for recorded quantities, thresholds, status, and expiration of registered consumables. Physical availability must not be inferred outside recorded data.</w:t>
      </w:r>
    </w:p>
    <w:p>
      <w:pPr/>
      <w:r>
        <w:t>PrintingConsumable(PrintingConsumableId PK, Category, Name, Code NULL, Capacity NULL, HasExpirationDate, CurrentQuantity, LowStockThreshold, CriticalStockThreshold, Status, ExpirationDate NULL, Active)</w:t>
      </w:r>
    </w:p>
    <w:p>
      <w:pPr>
        <w:pStyle w:val="Heading2"/>
      </w:pPr>
      <w:r>
        <w:t>10.1 Information Model — Inventory and Direct Printing</w:t>
      </w:r>
    </w:p>
    <w:p>
      <w:pPr>
        <w:pStyle w:val="Heading1"/>
      </w:pPr>
      <w:r>
        <w:t>11. State Rules</w:t>
      </w:r>
    </w:p>
    <w:p>
      <w:r>
        <w:t>The application owns the request until the requester manually creates the TDX ticket. There is no synchronization. Printed, Laminated and Notified represent completed technician actions. LaminationRequested represents the requester choice and must not be confused with Laminated. The Printed transition includes the physical move defined by the Shared Storage Contract. If that move fails, the transition is not complete and is not reported as successful. Printed remains the only print state.</w:t>
      </w:r>
    </w:p>
    <w:p>
      <w:pPr>
        <w:pStyle w:val="Heading1"/>
      </w:pPr>
      <w:r>
        <w:t>12. TDX — Final Scope</w:t>
      </w:r>
    </w:p>
    <w:p>
      <w:pPr>
        <w:pStyle w:val="ListBullet"/>
      </w:pPr>
      <w:r>
        <w:t>TDX means Technology Dynamics and is the institutional ticketing system.</w:t>
      </w:r>
    </w:p>
    <w:p>
      <w:pPr>
        <w:pStyle w:val="ListBullet"/>
      </w:pPr>
      <w:r>
        <w:t>There is no automatic integration.</w:t>
      </w:r>
    </w:p>
    <w:p>
      <w:pPr>
        <w:pStyle w:val="ListBullet"/>
      </w:pPr>
      <w:r>
        <w:t>The application generates the Poster ID.</w:t>
      </w:r>
    </w:p>
    <w:p>
      <w:pPr>
        <w:pStyle w:val="ListBullet"/>
      </w:pPr>
      <w:r>
        <w:t>The requester manually creates the ticket using that ID.</w:t>
      </w:r>
    </w:p>
    <w:p>
      <w:pPr>
        <w:pStyle w:val="ListBullet"/>
      </w:pPr>
      <w:r>
        <w:t>TDX assigns the ticket to a technician.</w:t>
      </w:r>
    </w:p>
    <w:p>
      <w:pPr>
        <w:pStyle w:val="ListBullet"/>
      </w:pPr>
      <w:r>
        <w:t>The technician uses the Poster ID to locate the request and files.</w:t>
      </w:r>
    </w:p>
    <w:p>
      <w:pPr>
        <w:pStyle w:val="ListBullet"/>
      </w:pPr>
      <w:r>
        <w:t>The application does not create, read, update or synchronize TDX tickets.</w:t>
      </w:r>
    </w:p>
    <w:p>
      <w:r>
        <w:t>Acceptance: Functional acceptance and production readiness are complete.</w:t>
      </w:r>
    </w:p>
    <w:p>
      <w:r>
        <w:t>Scope: Validate malformed uploads, access, permissions, accessibility, performance, backup/recovery, logging and deployment.</w:t>
      </w:r>
    </w:p>
    <w:p>
      <w:pPr>
        <w:pStyle w:val="Heading2"/>
      </w:pPr>
      <w:r>
        <w:t>PHASE 11 — Direct Printing Experimental</w:t>
      </w:r>
    </w:p>
    <w:p>
      <w:pPr/>
      <w:r>
        <w:t>Status: Newly authorized capability; experimental; DISABLED by default.</w:t>
      </w:r>
    </w:p>
    <w:p>
      <w:pPr/>
      <w:r>
        <w:t>Acceptance: An authorized administrator can enable/disable the capability through a checkmark/feature flag. With OFF, printing remains manual and no automatic printer submission exists. With ON, a technician may create a Print Job only for an approved request and submit it to the authorized Windows Print Server queue for the HP DesignJet T1300.</w:t>
      </w:r>
    </w:p>
    <w:p>
      <w:pPr/>
      <w:r>
        <w:t>Scope: Define configuration, authorization, Print Job, state, audit, and print-queue submission contracts. Keep the print server and HP driver authoritative for physical execution. Support variable poster dimensions; if a size does not exist as a driver preset, it must be definable through the driver Custom function.</w:t>
      </w:r>
    </w:p>
    <w:p>
      <w:pPr>
        <w:pStyle w:val="Heading2"/>
      </w:pPr>
      <w:r>
        <w:t>PHASE 10 — Printing Consumables Inventory</w:t>
      </w:r>
    </w:p>
    <w:p>
      <w:pPr/>
      <w:r>
        <w:t>Status: Newly authorized capability.</w:t>
      </w:r>
    </w:p>
    <w:p>
      <w:pPr/>
      <w:r>
        <w:t>Acceptance: The technician area shows current quantity, status, configured thresholds, and expiration when applicable for cartridges, paper, and laminating materials. The system identifies depleted, low-stock, and approaching-expiration items without inferring unrecorded data.</w:t>
      </w:r>
    </w:p>
    <w:p>
      <w:pPr/>
      <w:r>
        <w:t>Scope: Implement consumable catalog, quantities, thresholds, statuses, expiration, and alerts. Register MK/PK/B/M/Y/G cartridges, HP C1861A paper, C6814A photo paper, and the identified compatible Eagle 105 laminating materials.</w:t>
      </w:r>
    </w:p>
    <w:p>
      <w:pPr>
        <w:pStyle w:val="Heading2"/>
      </w:pPr>
      <w:r>
        <w:t>PHASE 9 — Security, Testing and Production</w:t>
      </w:r>
    </w:p>
    <w:p>
      <w:r>
        <w:t>Acceptance: The technician can process the request end-to-end without skipping stages.</w:t>
      </w:r>
    </w:p>
    <w:p>
      <w:r>
        <w:t>Scope: Implement the technician queue/detail and sequential Received → Printed → Laminated when applicable → Notified → Pickup workflow.</w:t>
      </w:r>
    </w:p>
    <w:p>
      <w:pPr>
        <w:pStyle w:val="Heading2"/>
      </w:pPr>
      <w:r>
        <w:t>PHASE 8 — Technician Workflow</w:t>
      </w:r>
    </w:p>
    <w:p>
      <w:r>
        <w:t>Acceptance: Every accepted request is stored unambiguously and the requester has everything needed to continue in TDX.</w:t>
      </w:r>
    </w:p>
    <w:p>
      <w:r>
        <w:t>Scope: Store the poster and the Approval Sheet when applicable, using the structure defined by the Shared Storage Contract. WITHOUT-EVENT monthly storage, EVENT/Poster ID folders, and generation of the empty .txt artifact are superseded. Show confirmation, Poster ID, and instructions to create the TDX ticket manually.</w:t>
      </w:r>
    </w:p>
    <w:p>
      <w:pPr>
        <w:pStyle w:val="Heading2"/>
      </w:pPr>
      <w:r>
        <w:t>PHASE 7 — Shared Storage + Poster ID + TDX Handoff</w:t>
      </w:r>
    </w:p>
    <w:p>
      <w:r>
        <w:t>Acceptance: A request is accepted only when all applicable conditions are satisfied.</w:t>
      </w:r>
    </w:p>
    <w:p>
      <w:r>
        <w:t>Scope: Implement Reason/Event, RequiresMentor/RequiresApprovalSheet rules, separate uploader and ApprovalSheetUploaded. Generate Poster ID and Date In on acceptance.</w:t>
      </w:r>
    </w:p>
    <w:p>
      <w:pPr>
        <w:pStyle w:val="Heading2"/>
      </w:pPr>
      <w:r>
        <w:t>PHASE 6 — Approval Sheet + Acceptance</w:t>
      </w:r>
    </w:p>
    <w:p>
      <w:r>
        <w:t>Acceptance: Real valid and invalid files produce deterministic, understandable and actionable results.</w:t>
      </w:r>
    </w:p>
    <w:p>
      <w:r>
        <w:t>For any failure, explain the exact problem and request a new upload.</w:t>
      </w:r>
    </w:p>
    <w:p>
      <w:r>
        <w:t>Scope: Implement real file inspection, one page/slide and 36×72 maximum dimensions. Show a visual preflight with format, page count and dimensions.</w:t>
      </w:r>
    </w:p>
    <w:p>
      <w:pPr>
        <w:pStyle w:val="Heading2"/>
      </w:pPr>
      <w:r>
        <w:t>PHASE 5 — PDF/PPTX Preflight</w:t>
      </w:r>
    </w:p>
    <w:p>
      <w:r>
        <w:t>Acceptance: The requester can complete the entire request with a clear experience on desktop, tablet and mobile.</w:t>
      </w:r>
    </w:p>
    <w:p>
      <w:r>
        <w:t>The experience must provide a poster uploader and a separate Approval Sheet uploader when applicable.</w:t>
      </w:r>
    </w:p>
    <w:p>
      <w:r>
        <w:t>Scope: Build the responsive Student/Staff form, drag-and-drop, file selection, upload states, replacement/removal and clear visual feedback.</w:t>
      </w:r>
    </w:p>
    <w:p>
      <w:pPr>
        <w:pStyle w:val="Heading2"/>
      </w:pPr>
      <w:r>
        <w:t>PHASE 4 — Requester Form + Premium Upload Experience</w:t>
      </w:r>
    </w:p>
    <w:p>
      <w:r>
        <w:t>Acceptance: A requester can understand the requirements without assistance and can access high-quality help throughout the request workflow.</w:t>
      </w:r>
    </w:p>
    <w:p>
      <w:r>
        <w:t>It should provide visual Good / Not Accepted states and clearly explain what must be corrected.</w:t>
      </w:r>
    </w:p>
    <w:p>
      <w:r>
        <w:t>It must include contextual help within the request form so users do not have to leave the workflow to find requirements.</w:t>
      </w:r>
    </w:p>
    <w:p>
      <w:r>
        <w:t>It must include: a visual explanation of 36 inches as the recommended width, 36 inches as the maximum, 72 inches as the maximum length, examples, photographs, videos, FAQ, the supplied printer-preview reference image and step-by-step guidance.</w:t>
      </w:r>
    </w:p>
    <w:p>
      <w:r>
        <w:t>Scope: Create a high-quality visual Help experience that explains requirements before the requester prepares or uploads a poster.</w:t>
      </w:r>
    </w:p>
    <w:p>
      <w:pPr>
        <w:pStyle w:val="Heading2"/>
      </w:pPr>
      <w:r>
        <w:t>PHASE 3 — Exceptional Help Experience</w:t>
      </w:r>
    </w:p>
    <w:p>
      <w:r>
        <w:t>Acceptance: The visual and responsive foundation supports all later experiences without page-specific fixes.</w:t>
      </w:r>
    </w:p>
    <w:p>
      <w:r>
        <w:t>UX goal: The application should feel like a modern professional institutional portal, not a CRUD form.</w:t>
      </w:r>
    </w:p>
    <w:p>
      <w:r>
        <w:t>Scope: Create the application shell, visual language, navigation, responsive design, accessibility and a highly polished professional visual experience.</w:t>
      </w:r>
    </w:p>
    <w:p>
      <w:pPr>
        <w:pStyle w:val="Heading2"/>
      </w:pPr>
      <w:r>
        <w:t>PHASE 2 — Premium Frontend Foundation</w:t>
      </w:r>
    </w:p>
    <w:p>
      <w:r>
        <w:t>Acceptance: Approved ERD is implemented and data authority is correctly separated.</w:t>
      </w:r>
    </w:p>
    <w:p>
      <w:r>
        <w:t>Scope: Create the Microsoft solution, SQL Server, entities, relationships, Department/Reason and basic request persistence.</w:t>
      </w:r>
    </w:p>
    <w:p>
      <w:pPr>
        <w:pStyle w:val="Heading2"/>
      </w:pPr>
      <w:r>
        <w:t>PHASE 1 — Foundation + SQL Server</w:t>
      </w:r>
    </w:p>
    <w:p>
      <w:pPr>
        <w:pStyle w:val="Heading1"/>
      </w:pPr>
      <w:r>
        <w:t>13. Implementation Roadmap</w:t>
      </w:r>
    </w:p>
    <w:p>
      <w:pPr/>
      <w:r>
        <w:t>Version 4.0 note: FASE/PHASE 10 — Printing Consumables Inventory and FASE/PHASE 11 — Direct Printing Experimental are now authorized as the next capabilities. Both require their structural contracts before implementation. Direct Printing remains OFF by default.</w:t>
      </w:r>
    </w:p>
    <w:p>
      <w:r>
        <w:t xml:space="preserve">Amendment note, 8 October 2026: Implementation order remains PHASE 1, PHASE 2, PHASE 3, PHASE 4, PHASE 5, PHASE 6, PHASE 7, PHASE 8, PHASE 9, PHASE 10, PHASE 11. This amendment does not change that order. The status of PHASE 10 and PHASE 11 remains the status in the version 4.0 note. PHASE 1 through PHASE 9 keep the version 4.0 text, which does not assign them a separate status label. Print-folder organization is authorized as a storage amendment, not as a new phase. Its status is: authorized by the Shared Storage Contract; this amendment does not change application code. The version 4.0 note authorizes new capabilities only as later phases that require a structural contract, and it names PHASE 10 and PHASE 11 as those next capabilities. This amendment therefore does not insert a phase. The file Poster_Print_Request_System_Roadmap_Final_v4_Bilingual old.docx contains Version 3.0 of 6 October 2026 and is not authority for order, status, or storage.</w:t>
      </w:r>
    </w:p>
    <w:p>
      <w:pPr>
        <w:pStyle w:val="Heading1"/>
      </w:pPr>
      <w:r>
        <w:t>14. Security and Reliability</w:t>
      </w:r>
    </w:p>
    <w:p>
      <w:pPr>
        <w:pStyle w:val="ListBullet"/>
      </w:pPr>
      <w:r>
        <w:t>Treat uploads as untrusted input.</w:t>
      </w:r>
    </w:p>
    <w:p>
      <w:pPr>
        <w:pStyle w:val="ListBullet"/>
      </w:pPr>
      <w:r>
        <w:t>Validate actual content.</w:t>
      </w:r>
    </w:p>
    <w:p>
      <w:pPr>
        <w:pStyle w:val="ListBullet"/>
      </w:pPr>
      <w:r>
        <w:t>Set file-size and processing-resource limits.</w:t>
      </w:r>
    </w:p>
    <w:p>
      <w:pPr>
        <w:pStyle w:val="ListBullet"/>
      </w:pPr>
      <w:r>
        <w:t>Apply institutional malware/quarantine controls where required.</w:t>
      </w:r>
    </w:p>
    <w:p>
      <w:pPr>
        <w:pStyle w:val="ListBullet"/>
      </w:pPr>
      <w:r>
        <w:t>Use safe storage names and identifiers.</w:t>
      </w:r>
    </w:p>
    <w:p>
      <w:pPr>
        <w:pStyle w:val="ListBullet"/>
      </w:pPr>
      <w:r>
        <w:t>Control access to request data and files.</w:t>
      </w:r>
    </w:p>
    <w:p>
      <w:pPr>
        <w:pStyle w:val="ListBullet"/>
      </w:pPr>
      <w:r>
        <w:t>Protect student/staff data.</w:t>
      </w:r>
    </w:p>
    <w:p>
      <w:pPr>
        <w:pStyle w:val="ListBullet"/>
      </w:pPr>
      <w:r>
        <w:t>Audit relevant operational changes.</w:t>
      </w:r>
    </w:p>
    <w:p>
      <w:pPr>
        <w:pStyle w:val="ListBullet"/>
      </w:pPr>
      <w:r>
        <w:t>Accessible alternative to drag-and-drop.</w:t>
      </w:r>
    </w:p>
    <w:p>
      <w:pPr>
        <w:pStyle w:val="ListBullet"/>
      </w:pPr>
      <w:r>
        <w:t>Captions/transcripts for help videos.</w:t>
      </w:r>
    </w:p>
    <w:p>
      <w:pPr>
        <w:pStyle w:val="Heading1"/>
      </w:pPr>
      <w:r>
        <w:t>15. General Acceptance Criteria</w:t>
      </w:r>
    </w:p>
    <w:p>
      <w:pPr>
        <w:pStyle w:val="ListBullet"/>
      </w:pPr>
      <w:r>
        <w:t>Requests violating technical rules cannot be accepted.</w:t>
      </w:r>
    </w:p>
    <w:p>
      <w:pPr>
        <w:pStyle w:val="ListBullet"/>
      </w:pPr>
      <w:r>
        <w:t>Accepted request receives a unique sequential Poster ID.</w:t>
      </w:r>
    </w:p>
    <w:p>
      <w:pPr>
        <w:pStyle w:val="ListBullet"/>
      </w:pPr>
      <w:r>
        <w:t>Date In is generated automatically.</w:t>
      </w:r>
    </w:p>
    <w:p>
      <w:pPr>
        <w:pStyle w:val="ListBullet"/>
      </w:pPr>
      <w:r>
        <w:t>Accepted file is unambiguously linked to the request. An unprinted poster is stored in the corresponding TO BE PRINTED folder. When Printed is completed, the Poster ID directory exists only in the corresponding PRINTED folder and every persisted StoragePath matches that location.</w:t>
      </w:r>
    </w:p>
    <w:p>
      <w:pPr>
        <w:pStyle w:val="ListBullet"/>
      </w:pPr>
      <w:r>
        <w:t>If an event requires Approval Sheet, continuation is blocked until a valid PDF exists and ApprovalSheetUploaded = true.</w:t>
      </w:r>
    </w:p>
    <w:p>
      <w:pPr>
        <w:pStyle w:val="ListBullet"/>
      </w:pPr>
      <w:r>
        <w:t>Requester receives confirmation, Poster ID and 48-hour timeframe.</w:t>
      </w:r>
    </w:p>
    <w:p>
      <w:pPr>
        <w:pStyle w:val="ListBullet"/>
      </w:pPr>
      <w:r>
        <w:t>Inventory alerts are based only on recorded consumable quantities, configured thresholds, and recorded expiration dates.</w:t>
      </w:r>
    </w:p>
    <w:p>
      <w:pPr>
        <w:pStyle w:val="ListBullet"/>
      </w:pPr>
      <w:r>
        <w:t>Direct Printing is OFF by default; when enabled, only approved requests may create print jobs and all print submissions are attributable to the authorized queue and technician action.</w:t>
      </w:r>
    </w:p>
    <w:p>
      <w:pPr>
        <w:pStyle w:val="ListBullet"/>
      </w:pPr>
      <w:r>
        <w:t>No technical TDX dependency exists.</w:t>
      </w:r>
    </w:p>
    <w:p>
      <w:pPr>
        <w:pStyle w:val="ListBullet"/>
      </w:pPr>
      <w:r>
        <w:t>Technician can locate the request using Poster ID.</w:t>
      </w:r>
    </w:p>
    <w:p>
      <w:pPr>
        <w:pStyle w:val="ListBullet"/>
      </w:pPr>
      <w:r>
        <w:t>Technician workflow is sequential.</w:t>
      </w:r>
    </w:p>
    <w:p>
      <w:pPr>
        <w:pStyle w:val="ListBullet"/>
      </w:pPr>
      <w:r>
        <w:t>Requester and technician data have separate authority.</w:t>
      </w:r>
    </w:p>
    <w:p>
      <w:pPr>
        <w:pStyle w:val="ListBullet"/>
      </w:pPr>
      <w:r>
        <w:t>Build/tests are necessary but are not the acceptance authority.</w:t>
      </w:r>
    </w:p>
    <w:p>
      <w:pPr>
        <w:pStyle w:val="ListBullet"/>
      </w:pPr>
      <w:r>
        <w:t>No placeholders, simulated integrations, TODO/FIXME items or patches for undefined behavior.</w:t>
      </w:r>
    </w:p>
    <w:p>
      <w:pPr>
        <w:pStyle w:val="Heading1"/>
      </w:pPr>
      <w:r>
        <w:t>16. Plotter Reference Image</w:t>
      </w:r>
    </w:p>
    <w:p>
      <w:r>
        <w:t>The supplied image shows a real printer preview with dimensions of 914 × 1829 mm, approximately 36 × 72 inches. It is retained as visual guidance for the help page and documentation.</w:t>
      </w:r>
    </w:p>
    <w:p>
      <w:pPr>
        <w:jc w:val="center"/>
      </w:pPr>
      <w:r>
        <w:drawing>
          <wp:inline xmlns:a="http://schemas.openxmlformats.org/drawingml/2006/main" xmlns:pic="http://schemas.openxmlformats.org/drawingml/2006/picture">
            <wp:extent cx="5943600" cy="356814"/>
            <wp:docPr id="2" name="Picture 2"/>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943600" cy="356814"/>
                    </a:xfrm>
                    <a:prstGeom prst="rect"/>
                  </pic:spPr>
                </pic:pic>
              </a:graphicData>
            </a:graphic>
          </wp:inline>
        </w:drawing>
      </w:r>
    </w:p>
    <w:p>
      <w:r>
        <w:t>It is a UX/documentation reference and does not replace the functional validation rules.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