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PRINTING CONSUMABLES INVENTORY</w:t>
        <w:br/>
        <w:t>PRESENTATION CONTRACT</w:t>
      </w:r>
    </w:p>
    <w:p>
      <w:r>
        <w:rPr>
          <w:b/>
        </w:rPr>
        <w:t xml:space="preserve">Version: </w:t>
      </w:r>
      <w:r>
        <w:t>1.0</w:t>
        <w:br/>
      </w:r>
      <w:r>
        <w:rPr>
          <w:b/>
        </w:rPr>
        <w:t xml:space="preserve">Status: </w:t>
      </w:r>
      <w:r>
        <w:t>Authorized UX decision</w:t>
        <w:br/>
      </w:r>
      <w:r>
        <w:rPr>
          <w:b/>
        </w:rPr>
        <w:t xml:space="preserve">Scope: </w:t>
      </w:r>
      <w:r>
        <w:t>Technician area</w:t>
      </w:r>
    </w:p>
    <w:p>
      <w:pPr>
        <w:pStyle w:val="Heading1"/>
      </w:pPr>
      <w:r>
        <w:t>1. Authority</w:t>
      </w:r>
    </w:p>
    <w:p>
      <w:r>
        <w:t>Inventory is a single capability and a single authority for printing-consumable inventory data, inventory rules, thresholds, status, and expiration information. The technician dashboard may present derived critical indicators, but it does not own or duplicate inventory state.</w:t>
      </w:r>
    </w:p>
    <w:p>
      <w:pPr>
        <w:pStyle w:val="Heading1"/>
      </w:pPr>
      <w:r>
        <w:t>2. Navigation</w:t>
      </w:r>
    </w:p>
    <w:p>
      <w:pPr>
        <w:pStyle w:val="ListBullet"/>
      </w:pPr>
      <w:r>
        <w:t>Inventory</w:t>
      </w:r>
    </w:p>
    <w:p>
      <w:pPr>
        <w:pStyle w:val="ListBullet"/>
      </w:pPr>
      <w:r>
        <w:t>Inventory Overview</w:t>
      </w:r>
    </w:p>
    <w:p>
      <w:pPr>
        <w:pStyle w:val="ListBullet"/>
      </w:pPr>
      <w:r>
        <w:t>Cartridges</w:t>
      </w:r>
    </w:p>
    <w:p>
      <w:pPr>
        <w:pStyle w:val="ListBullet"/>
      </w:pPr>
      <w:r>
        <w:t>Paper</w:t>
      </w:r>
    </w:p>
    <w:p>
      <w:pPr>
        <w:pStyle w:val="ListBullet"/>
      </w:pPr>
      <w:r>
        <w:t>Lamination</w:t>
      </w:r>
    </w:p>
    <w:p>
      <w:pPr>
        <w:pStyle w:val="ListBullet"/>
      </w:pPr>
      <w:r>
        <w:t>Inventory Settings / Thresholds</w:t>
      </w:r>
    </w:p>
    <w:p>
      <w:pPr>
        <w:pStyle w:val="Heading1"/>
      </w:pPr>
      <w:r>
        <w:t>3. Technician Dashboard Projection</w:t>
      </w:r>
    </w:p>
    <w:p>
      <w:r>
        <w:t>The technician dashboard shall show only operationally critical inventory information. It is a projection of Inventory authority, not a second inventory interface.</w:t>
      </w:r>
    </w:p>
    <w:p>
      <w:pPr>
        <w:pStyle w:val="ListBullet"/>
      </w:pPr>
      <w:r>
        <w:t>Depleted consumables</w:t>
      </w:r>
    </w:p>
    <w:p>
      <w:pPr>
        <w:pStyle w:val="ListBullet"/>
      </w:pPr>
      <w:r>
        <w:t>Consumables below the configured threshold</w:t>
      </w:r>
    </w:p>
    <w:p>
      <w:pPr>
        <w:pStyle w:val="ListBullet"/>
      </w:pPr>
      <w:r>
        <w:t>Consumables approaching expiration when an expiration date exists</w:t>
      </w:r>
    </w:p>
    <w:p>
      <w:pPr>
        <w:pStyle w:val="ListBullet"/>
      </w:pPr>
      <w:r>
        <w:t>Critical-alert counts</w:t>
      </w:r>
    </w:p>
    <w:p>
      <w:pPr>
        <w:pStyle w:val="ListBullet"/>
      </w:pPr>
      <w:r>
        <w:t>A concise list of the most important active alerts</w:t>
      </w:r>
    </w:p>
    <w:p>
      <w:pPr>
        <w:pStyle w:val="Heading1"/>
      </w:pPr>
      <w:r>
        <w:t>4. Navigation from Alert to Authority</w:t>
      </w:r>
    </w:p>
    <w:p>
      <w:r>
        <w:t>A dashboard alert shall provide a direct path to the corresponding Inventory information. Investigation, configuration, and inventory changes occur in Inventory.</w:t>
      </w:r>
    </w:p>
    <w:p>
      <w:pPr>
        <w:pStyle w:val="Heading1"/>
      </w:pPr>
      <w:r>
        <w:t>5. No Duplicate Authority</w:t>
      </w:r>
    </w:p>
    <w:p>
      <w:pPr>
        <w:pStyle w:val="ListBullet"/>
      </w:pPr>
      <w:r>
        <w:t>The dashboard must not maintain its own quantity, threshold, status, or expiration values.</w:t>
      </w:r>
    </w:p>
    <w:p>
      <w:pPr>
        <w:pStyle w:val="ListBullet"/>
      </w:pPr>
      <w:r>
        <w:t>Dashboard indicators must be derived from Inventory-owned data and rules.</w:t>
      </w:r>
    </w:p>
    <w:p>
      <w:pPr>
        <w:pStyle w:val="ListBullet"/>
      </w:pPr>
      <w:r>
        <w:t>Inventory remains the authoritative source for all consumable state.</w:t>
      </w:r>
    </w:p>
    <w:p>
      <w:pPr>
        <w:pStyle w:val="ListBullet"/>
      </w:pPr>
      <w:r>
        <w:t>Presentation logic must not contain inventory business rules.</w:t>
      </w:r>
    </w:p>
    <w:p>
      <w:pPr>
        <w:pStyle w:val="Heading1"/>
      </w:pPr>
      <w:r>
        <w:t>6. Acceptance Criteria</w:t>
      </w:r>
    </w:p>
    <w:p>
      <w:pPr>
        <w:pStyle w:val="ListBullet"/>
      </w:pPr>
      <w:r>
        <w:t>A technician can discover critical consumable problems from the dashboard without first opening Inventory.</w:t>
      </w:r>
    </w:p>
    <w:p>
      <w:pPr>
        <w:pStyle w:val="ListBullet"/>
      </w:pPr>
      <w:r>
        <w:t>The complete inventory remains accessible through the Inventory menu.</w:t>
      </w:r>
    </w:p>
    <w:p>
      <w:pPr>
        <w:pStyle w:val="ListBullet"/>
      </w:pPr>
      <w:r>
        <w:t>Dashboard values match the authoritative Inventory values.</w:t>
      </w:r>
    </w:p>
    <w:p>
      <w:pPr>
        <w:pStyle w:val="ListBullet"/>
      </w:pPr>
      <w:r>
        <w:t>Changing inventory data is performed through Inventory and is reflected by the dashboard projection.</w:t>
      </w:r>
    </w:p>
    <w:p>
      <w:pPr>
        <w:pStyle w:val="ListBullet"/>
      </w:pPr>
      <w:r>
        <w:t>No second inventory authority or page-specific inventory rule is introduced.</w:t>
      </w:r>
    </w:p>
    <w:p>
      <w:pPr>
        <w:pStyle w:val="ListBullet"/>
      </w:pPr>
      <w:r>
        <w:t>The design remains usable without relying on color alone to communicate critical state.</w:t>
      </w:r>
    </w:p>
    <w:p>
      <w:pPr>
        <w:pStyle w:val="Heading1"/>
      </w:pPr>
      <w:r>
        <w:t>7. Boundary</w:t>
      </w:r>
    </w:p>
    <w:p>
      <w:r>
        <w:t>This contract defines presentation and navigation only. It does not authorize changes to the inventory ERD, domain rules, security model, threshold semantics, alert timing, or persistence ownership. Those remain governed by their respective contracts.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