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Display" w:hAnsi="Aptos Display"/>
          <w:b/>
          <w:color w:val="0B1D3A"/>
          <w:sz w:val="64"/>
        </w:rPr>
        <w:t>CHODO</w:t>
      </w:r>
    </w:p>
    <w:p>
      <w:pPr>
        <w:jc w:val="center"/>
      </w:pPr>
      <w:r>
        <w:rPr>
          <w:b/>
          <w:color w:val="1E2F5E"/>
          <w:sz w:val="34"/>
        </w:rPr>
        <w:t>Cost-First RDS SQL Server Sizing, Safety Guardrails &amp; Regression Specification</w:t>
      </w:r>
    </w:p>
    <w:p>
      <w:pPr>
        <w:jc w:val="center"/>
      </w:pPr>
      <w:r>
        <w:rPr>
          <w:color w:val="5A636E"/>
          <w:sz w:val="22"/>
        </w:rPr>
        <w:t>Version 2 — Revised sizing logic</w:t>
      </w:r>
    </w:p>
    <w:p>
      <w:pPr>
        <w:spacing w:before="280"/>
        <w:jc w:val="center"/>
      </w:pPr>
      <w:r>
        <w:rPr>
          <w:b/>
          <w:sz w:val="22"/>
        </w:rPr>
        <w:t>Primary objective: minimize RDS SQL Server compute and license cost while keeping every recommended target inside explicit performance and platform safety constraints.</w:t>
      </w:r>
    </w:p>
    <w:p>
      <w:pPr>
        <w:pStyle w:val="Heading1"/>
      </w:pPr>
      <w:r>
        <w:t>1. Core Optimization Objective</w:t>
      </w:r>
    </w:p>
    <w:p>
      <w:r>
        <w:t>Chodo is not a capacity-preservation engine. It is a cost and SQL Server license optimization engine with controlled operational risk. CPU, memory, IOPS, throughput, network and platform limits are constraints used to determine how far Chodo can safely reduce cost.</w:t>
      </w:r>
    </w:p>
    <w:p>
      <w:r>
        <w:rPr>
          <w:b/>
        </w:rPr>
        <w:t xml:space="preserve">Locked principle: </w:t>
      </w:r>
      <w:r>
        <w:t>find the lowest-cost valid configuration that passes every required safety gate. If no cheaper candidate can be proven safe, recommend no change.</w:t>
      </w:r>
    </w:p>
    <w:p>
      <w:pPr>
        <w:pStyle w:val="Heading1"/>
      </w:pPr>
      <w:r>
        <w:t>2. Required Sizing Sequence</w:t>
      </w:r>
    </w:p>
    <w:p>
      <w:pPr>
        <w:pStyle w:val="ListNumber"/>
        <w:spacing w:after="40"/>
      </w:pPr>
      <w:r>
        <w:t>Use SQL Server CPU demand as the primary signal for how far vCPU / licensed CPU can potentially be reduced.</w:t>
      </w:r>
    </w:p>
    <w:p>
      <w:pPr>
        <w:pStyle w:val="ListNumber"/>
        <w:spacing w:after="40"/>
      </w:pPr>
      <w:r>
        <w:t>Generate every cheaper, supported candidate size/family that is technically eligible.</w:t>
      </w:r>
    </w:p>
    <w:p>
      <w:pPr>
        <w:pStyle w:val="ListNumber"/>
        <w:spacing w:after="40"/>
      </w:pPr>
      <w:r>
        <w:t>Project SQL CPU onto each candidate using the candidate vCPU count.</w:t>
      </w:r>
    </w:p>
    <w:p>
      <w:pPr>
        <w:pStyle w:val="ListNumber"/>
        <w:spacing w:after="40"/>
      </w:pPr>
      <w:r>
        <w:t>For every CPU-viable candidate, verify that memory can fit. If the raw memory picture is uncertain or appears too high, run the deeper SQL Server memory investigation before rejecting.</w:t>
      </w:r>
    </w:p>
    <w:p>
      <w:pPr>
        <w:pStyle w:val="ListNumber"/>
        <w:spacing w:after="40"/>
      </w:pPr>
      <w:r>
        <w:t>For every CPU+memory-viable candidate, validate IOPS and storage throughput against both the target instance limits and storage limits.</w:t>
      </w:r>
    </w:p>
    <w:p>
      <w:pPr>
        <w:pStyle w:val="ListNumber"/>
        <w:spacing w:after="40"/>
      </w:pPr>
      <w:r>
        <w:t>If I/O does not fit, investigate whether a different storage configuration or NVMe-capable target changes the economics and safety outcome.</w:t>
      </w:r>
    </w:p>
    <w:p>
      <w:pPr>
        <w:pStyle w:val="ListNumber"/>
        <w:spacing w:after="40"/>
      </w:pPr>
      <w:r>
        <w:t>Validate network, EBS bandwidth, engine/version/edition compatibility, Multi-AZ implications, and any special platform constraints.</w:t>
      </w:r>
    </w:p>
    <w:p>
      <w:pPr>
        <w:pStyle w:val="ListNumber"/>
        <w:spacing w:after="40"/>
      </w:pPr>
      <w:r>
        <w:t>Calculate total monthly cost and SQL Server license impact for all surviving candidates.</w:t>
      </w:r>
    </w:p>
    <w:p>
      <w:pPr>
        <w:pStyle w:val="ListNumber"/>
        <w:spacing w:after="40"/>
      </w:pPr>
      <w:r>
        <w:t>Recommend the cheapest candidate that passes all hard gates. Continue stepping down until the next candidate fails; do not stop merely because one smaller size passes.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0B1D3A"/>
          </w:tcPr>
          <w:p>
            <w:r/>
            <w:r>
              <w:rPr>
                <w:rFonts w:ascii="Aptos" w:hAnsi="Aptos"/>
                <w:b/>
                <w:color w:val="FFFFFF"/>
                <w:sz w:val="16"/>
              </w:rPr>
              <w:t>CPU</w:t>
            </w:r>
          </w:p>
        </w:tc>
        <w:tc>
          <w:tcPr>
            <w:tcW w:type="dxa" w:w="1452"/>
            <w:vAlign w:val="center"/>
            <w:shd w:fill="0B1D3A"/>
          </w:tcPr>
          <w:p>
            <w:r/>
            <w:r>
              <w:rPr>
                <w:rFonts w:ascii="Aptos" w:hAnsi="Aptos"/>
                <w:b/>
                <w:color w:val="FFFFFF"/>
                <w:sz w:val="16"/>
              </w:rPr>
              <w:t>Memory</w:t>
            </w:r>
          </w:p>
        </w:tc>
        <w:tc>
          <w:tcPr>
            <w:tcW w:type="dxa" w:w="1452"/>
            <w:vAlign w:val="center"/>
            <w:shd w:fill="0B1D3A"/>
          </w:tcPr>
          <w:p>
            <w:r/>
            <w:r>
              <w:rPr>
                <w:rFonts w:ascii="Aptos" w:hAnsi="Aptos"/>
                <w:b/>
                <w:color w:val="FFFFFF"/>
                <w:sz w:val="16"/>
              </w:rPr>
              <w:t>IOPS / Throughput</w:t>
            </w:r>
          </w:p>
        </w:tc>
        <w:tc>
          <w:tcPr>
            <w:tcW w:type="dxa" w:w="1452"/>
            <w:vAlign w:val="center"/>
            <w:shd w:fill="0B1D3A"/>
          </w:tcPr>
          <w:p>
            <w:r/>
            <w:r>
              <w:rPr>
                <w:rFonts w:ascii="Aptos" w:hAnsi="Aptos"/>
                <w:b/>
                <w:color w:val="FFFFFF"/>
                <w:sz w:val="16"/>
              </w:rPr>
              <w:t>NVMe / Storage Alternative</w:t>
            </w:r>
          </w:p>
        </w:tc>
        <w:tc>
          <w:tcPr>
            <w:tcW w:type="dxa" w:w="1452"/>
            <w:vAlign w:val="center"/>
            <w:shd w:fill="0B1D3A"/>
          </w:tcPr>
          <w:p>
            <w:r/>
            <w:r>
              <w:rPr>
                <w:rFonts w:ascii="Aptos" w:hAnsi="Aptos"/>
                <w:b/>
                <w:color w:val="FFFFFF"/>
                <w:sz w:val="16"/>
              </w:rPr>
              <w:t>Platform Limits</w:t>
            </w:r>
          </w:p>
        </w:tc>
        <w:tc>
          <w:tcPr>
            <w:tcW w:type="dxa" w:w="1452"/>
            <w:vAlign w:val="center"/>
            <w:shd w:fill="0B1D3A"/>
          </w:tcPr>
          <w:p>
            <w:r/>
            <w:r>
              <w:rPr>
                <w:rFonts w:ascii="Aptos" w:hAnsi="Aptos"/>
                <w:b/>
                <w:color w:val="FFFFFF"/>
                <w:sz w:val="16"/>
              </w:rPr>
              <w:t>Cost</w:t>
            </w:r>
          </w:p>
        </w:tc>
        <w:tc>
          <w:tcPr>
            <w:tcW w:type="dxa" w:w="1452"/>
            <w:vAlign w:val="center"/>
            <w:shd w:fill="0B1D3A"/>
          </w:tcPr>
          <w:p>
            <w:r/>
            <w:r>
              <w:rPr>
                <w:rFonts w:ascii="Aptos" w:hAnsi="Aptos"/>
                <w:b/>
                <w:color w:val="FFFFFF"/>
                <w:sz w:val="16"/>
              </w:rPr>
              <w:t>Decision</w:t>
            </w:r>
          </w:p>
        </w:tc>
      </w:tr>
      <w:tr>
        <w:tc>
          <w:tcPr>
            <w:tcW w:type="dxa" w:w="1452"/>
            <w:vAlign w:val="center"/>
          </w:tcPr>
          <w:p>
            <w:r/>
            <w:r>
              <w:rPr>
                <w:rFonts w:ascii="Aptos" w:hAnsi="Aptos"/>
                <w:b w:val="0"/>
                <w:sz w:val="16"/>
              </w:rPr>
              <w:t>Pass?</w:t>
            </w:r>
          </w:p>
        </w:tc>
        <w:tc>
          <w:tcPr>
            <w:tcW w:type="dxa" w:w="1452"/>
            <w:vAlign w:val="center"/>
          </w:tcPr>
          <w:p>
            <w:r/>
            <w:r>
              <w:rPr>
                <w:rFonts w:ascii="Aptos" w:hAnsi="Aptos"/>
                <w:b w:val="0"/>
                <w:sz w:val="16"/>
              </w:rPr>
              <w:t>Fits? / Investigate</w:t>
            </w:r>
          </w:p>
        </w:tc>
        <w:tc>
          <w:tcPr>
            <w:tcW w:type="dxa" w:w="1452"/>
            <w:vAlign w:val="center"/>
          </w:tcPr>
          <w:p>
            <w:r/>
            <w:r>
              <w:rPr>
                <w:rFonts w:ascii="Aptos" w:hAnsi="Aptos"/>
                <w:b w:val="0"/>
                <w:sz w:val="16"/>
              </w:rPr>
              <w:t>Fits? / Investigate</w:t>
            </w:r>
          </w:p>
        </w:tc>
        <w:tc>
          <w:tcPr>
            <w:tcW w:type="dxa" w:w="1452"/>
            <w:vAlign w:val="center"/>
          </w:tcPr>
          <w:p>
            <w:r/>
            <w:r>
              <w:rPr>
                <w:rFonts w:ascii="Aptos" w:hAnsi="Aptos"/>
                <w:b w:val="0"/>
                <w:sz w:val="16"/>
              </w:rPr>
              <w:t>Can resolve I/O?</w:t>
            </w:r>
          </w:p>
        </w:tc>
        <w:tc>
          <w:tcPr>
            <w:tcW w:type="dxa" w:w="1452"/>
            <w:vAlign w:val="center"/>
          </w:tcPr>
          <w:p>
            <w:r/>
            <w:r>
              <w:rPr>
                <w:rFonts w:ascii="Aptos" w:hAnsi="Aptos"/>
                <w:b w:val="0"/>
                <w:sz w:val="16"/>
              </w:rPr>
              <w:t>Pass?</w:t>
            </w:r>
          </w:p>
        </w:tc>
        <w:tc>
          <w:tcPr>
            <w:tcW w:type="dxa" w:w="1452"/>
            <w:vAlign w:val="center"/>
          </w:tcPr>
          <w:p>
            <w:r/>
            <w:r>
              <w:rPr>
                <w:rFonts w:ascii="Aptos" w:hAnsi="Aptos"/>
                <w:b w:val="0"/>
                <w:sz w:val="16"/>
              </w:rPr>
              <w:t>Rank survivors</w:t>
            </w:r>
          </w:p>
        </w:tc>
        <w:tc>
          <w:tcPr>
            <w:tcW w:type="dxa" w:w="1452"/>
            <w:vAlign w:val="center"/>
          </w:tcPr>
          <w:p>
            <w:r/>
            <w:r>
              <w:rPr>
                <w:rFonts w:ascii="Aptos" w:hAnsi="Aptos"/>
                <w:b w:val="0"/>
                <w:sz w:val="16"/>
              </w:rPr>
              <w:t>Cheapest safe target</w:t>
            </w:r>
          </w:p>
        </w:tc>
      </w:tr>
    </w:tbl>
    <w:p>
      <w:pPr>
        <w:pStyle w:val="Heading1"/>
      </w:pPr>
      <w:r>
        <w:t>3. CPU-First Candidate Generation</w:t>
      </w:r>
    </w:p>
    <w:p>
      <w:r>
        <w:t>SQL Server CPU is the primary vCPU-rightsizing signal. Total instance CPU and OtherProcessUtilization are final safety checks, not the primary sizing driver.</w:t>
      </w:r>
    </w:p>
    <w:p>
      <w:pPr>
        <w:pStyle w:val="Heading2"/>
      </w:pPr>
      <w:r>
        <w:t>3.1 Projection</w:t>
      </w:r>
    </w:p>
    <w:p>
      <w:r>
        <w:rPr>
          <w:b/>
        </w:rPr>
        <w:t>Projected SQL CPU sample = Current SQLProcessUtilization sample × (current vCPU ÷ candidate vCPU).</w:t>
      </w:r>
    </w:p>
    <w:p>
      <w:r>
        <w:t>Project each timestamp first, then calculate candidate P95 and P99. Do not scale an already-computed percentile when sample-level data is available.</w:t>
      </w:r>
    </w:p>
    <w:p>
      <w:pPr>
        <w:pStyle w:val="Heading2"/>
      </w:pPr>
      <w:r>
        <w:t>3.2 CPU gates</w:t>
      </w:r>
    </w:p>
    <w:p>
      <w:pPr>
        <w:pStyle w:val="ListBullet"/>
        <w:spacing w:after="40" w:before="0"/>
      </w:pPr>
      <w:r>
        <w:t>Projected SQL CPU P95 target: ≤ 70%.</w:t>
      </w:r>
    </w:p>
    <w:p>
      <w:pPr>
        <w:pStyle w:val="ListBullet"/>
        <w:spacing w:after="40" w:before="0"/>
      </w:pPr>
      <w:r>
        <w:t>Projected SQL CPU P99 burst ceiling: ≤ 90%.</w:t>
      </w:r>
    </w:p>
    <w:p>
      <w:pPr>
        <w:pStyle w:val="ListBullet"/>
        <w:spacing w:after="40" w:before="0"/>
      </w:pPr>
      <w:r>
        <w:t>Concurrent total CPU safety gate: ≤ 90% after projecting SQL CPU and combining it sample-by-sample with concurrent non-SQL CPU.</w:t>
      </w:r>
    </w:p>
    <w:p>
      <w:pPr>
        <w:pStyle w:val="ListBullet"/>
        <w:spacing w:after="40" w:before="0"/>
      </w:pPr>
      <w:r>
        <w:t>Do not sum independent SQL CPU and OtherProcessUtilization percentiles. Compute concurrent total CPU per sample, then calculate P95/P99.</w:t>
      </w:r>
    </w:p>
    <w:p>
      <w:pPr>
        <w:pStyle w:val="ListBullet"/>
        <w:spacing w:after="40" w:before="0"/>
      </w:pPr>
      <w:r>
        <w:t>If a candidate fails CPU, reject that candidate and all smaller same-family candidates whose vCPU count can only increase projected utilization. Cross-family candidates may still be tested if materially different CPU characteristics or licensing economics justify it.</w:t>
      </w:r>
    </w:p>
    <w:p>
      <w:pPr>
        <w:pStyle w:val="Heading1"/>
      </w:pPr>
      <w:r>
        <w:t>4. Memory: Fit First, Investigate Before Rejecting</w:t>
      </w:r>
    </w:p>
    <w:p>
      <w:r>
        <w:t>Memory is a constraint, not the lead optimization signal. Chodo should not preserve current RAM simply because utilization is high, and it should not assume that 100% used memory means 100% required memory. SQL Server intentionally uses available memory for cache.</w:t>
      </w:r>
    </w:p>
    <w:p>
      <w:pPr>
        <w:pStyle w:val="Heading2"/>
      </w:pPr>
      <w:r>
        <w:t>4.1 Candidate memory screen</w:t>
      </w:r>
    </w:p>
    <w:p>
      <w:pPr>
        <w:pStyle w:val="ListBullet"/>
        <w:spacing w:after="40" w:before="0"/>
      </w:pPr>
      <w:r>
        <w:t>For each CPU-viable target, compare the best available estimate of SQL Server working-set demand against target usable RAM.</w:t>
      </w:r>
    </w:p>
    <w:p>
      <w:pPr>
        <w:pStyle w:val="ListBullet"/>
        <w:spacing w:after="40" w:before="0"/>
      </w:pPr>
      <w:r>
        <w:t>If memory demand clearly fits with reasonable headroom and pressure indicators are clean, PASS the candidate and continue to I/O checks.</w:t>
      </w:r>
    </w:p>
    <w:p>
      <w:pPr>
        <w:pStyle w:val="ListBullet"/>
        <w:spacing w:after="40" w:before="0"/>
      </w:pPr>
      <w:r>
        <w:t>If demand clearly exceeds target RAM, do not immediately reject if SQL Server is known to be filling cache or the raw metric cannot distinguish cache from pressure. Trigger the deeper memory investigation.</w:t>
      </w:r>
    </w:p>
    <w:p>
      <w:pPr>
        <w:pStyle w:val="ListBullet"/>
        <w:spacing w:after="40" w:before="0"/>
      </w:pPr>
      <w:r>
        <w:t>If memory is near 100% on the current instance, always treat that as an investigation trigger rather than an automatic rejection of downsizing.</w:t>
      </w:r>
    </w:p>
    <w:p>
      <w:pPr>
        <w:pStyle w:val="Heading2"/>
      </w:pPr>
      <w:r>
        <w:t>4.2 Memory investigation</w:t>
      </w:r>
    </w:p>
    <w:p>
      <w:pPr>
        <w:pStyle w:val="ListBullet"/>
        <w:spacing w:after="40" w:before="0"/>
      </w:pPr>
      <w:r>
        <w:t>Lazy Writes/sec — sustained activity is a negative pressure signal; isolated samples are not enough to fail.</w:t>
      </w:r>
    </w:p>
    <w:p>
      <w:pPr>
        <w:pStyle w:val="ListBullet"/>
        <w:spacing w:after="40" w:before="0"/>
      </w:pPr>
      <w:r>
        <w:t>Page Reads/sec — evaluate trend relative to workload, not an absolute number alone.</w:t>
      </w:r>
    </w:p>
    <w:p>
      <w:pPr>
        <w:pStyle w:val="ListBullet"/>
        <w:spacing w:after="40" w:before="0"/>
      </w:pPr>
      <w:r>
        <w:t>Page Life Expectancy — use trend and workload context; avoid a universal single-number threshold.</w:t>
      </w:r>
    </w:p>
    <w:p>
      <w:pPr>
        <w:pStyle w:val="ListBullet"/>
        <w:spacing w:after="40" w:before="0"/>
      </w:pPr>
      <w:r>
        <w:t>Memory Grants Pending and RESOURCE_SEMAPHORE waits — strong evidence of grant pressure when sustained.</w:t>
      </w:r>
    </w:p>
    <w:p>
      <w:pPr>
        <w:pStyle w:val="ListBullet"/>
        <w:spacing w:after="40" w:before="0"/>
      </w:pPr>
      <w:r>
        <w:t>Total Server Memory versus Target Server Memory and max server memory configuration.</w:t>
      </w:r>
    </w:p>
    <w:p>
      <w:pPr>
        <w:pStyle w:val="ListBullet"/>
        <w:spacing w:after="40" w:before="0"/>
      </w:pPr>
      <w:r>
        <w:t>Buffer cache behavior / hit ratio — supporting evidence only; never a single hard gate.</w:t>
      </w:r>
    </w:p>
    <w:p>
      <w:pPr>
        <w:pStyle w:val="ListBullet"/>
        <w:spacing w:after="40" w:before="0"/>
      </w:pPr>
      <w:r>
        <w:t>ReadIOPS behavior during pressure windows — determine whether reduced cache is already driving materially more physical reads.</w:t>
      </w:r>
    </w:p>
    <w:p>
      <w:pPr>
        <w:pStyle w:val="ListBullet"/>
        <w:spacing w:after="40" w:before="0"/>
      </w:pPr>
      <w:r>
        <w:t>Workload duration and stability — prefer 14–30 days; shorter periods reduce confidence.</w:t>
      </w:r>
    </w:p>
    <w:p>
      <w:pPr>
        <w:pStyle w:val="ListBullet"/>
        <w:spacing w:after="40" w:before="0"/>
      </w:pPr>
      <w:r>
        <w:t>OS / non-SQL memory headroom where available.</w:t>
      </w:r>
    </w:p>
    <w:p>
      <w:pPr>
        <w:pStyle w:val="Heading2"/>
      </w:pPr>
      <w:r>
        <w:t>4.3 Memory decision</w:t>
      </w:r>
    </w:p>
    <w:p>
      <w:pPr>
        <w:pStyle w:val="ListBullet"/>
        <w:spacing w:after="40" w:before="0"/>
      </w:pPr>
      <w:r>
        <w:t>PASS: target RAM appears sufficient and no sustained memory-pressure evidence indicates the reduction is unsafe.</w:t>
      </w:r>
    </w:p>
    <w:p>
      <w:pPr>
        <w:pStyle w:val="ListBullet"/>
        <w:spacing w:after="40" w:before="0"/>
      </w:pPr>
      <w:r>
        <w:t>WARN: target may fit but evidence is incomplete/mixed; keep candidate eligible only if the customer-facing recommendation is marked validation required or expert-reviewed.</w:t>
      </w:r>
    </w:p>
    <w:p>
      <w:pPr>
        <w:pStyle w:val="ListBullet"/>
        <w:spacing w:after="40" w:before="0"/>
      </w:pPr>
      <w:r>
        <w:t>FAIL: sustained pressure indicates the workload already needs near-current RAM, or the target cannot provide enough usable memory after investigation.</w:t>
      </w:r>
    </w:p>
    <w:p>
      <w:pPr>
        <w:pStyle w:val="Heading1"/>
      </w:pPr>
      <w:r>
        <w:t>5. IOPS and Throughput: Candidate Capability Gates</w:t>
      </w:r>
    </w:p>
    <w:p>
      <w:r>
        <w:t>IOPS and throughput are checked only after CPU and memory allow the candidate to remain in contention. They do not drive the initial size reduction; they determine whether the cheaper candidate can safely carry the observed storage workload.</w:t>
      </w:r>
    </w:p>
    <w:p>
      <w:pPr>
        <w:pStyle w:val="Heading2"/>
      </w:pPr>
      <w:r>
        <w:t>5.1 Effective capability</w:t>
      </w:r>
    </w:p>
    <w:p>
      <w:r>
        <w:rPr>
          <w:b/>
        </w:rPr>
        <w:t>Effective IOPS ceiling = min(target instance-side storage/I/O capability, configured storage IOPS capability).</w:t>
      </w:r>
    </w:p>
    <w:p>
      <w:r>
        <w:rPr>
          <w:b/>
        </w:rPr>
        <w:t>Effective throughput ceiling = min(target instance EBS/storage bandwidth, configured storage throughput capability).</w:t>
      </w:r>
    </w:p>
    <w:p>
      <w:pPr>
        <w:pStyle w:val="ListBullet"/>
        <w:spacing w:after="40" w:before="0"/>
      </w:pPr>
      <w:r>
        <w:t>Use combined ReadIOPS + WriteIOPS and ReadThroughput + WriteThroughput from concurrent samples where possible.</w:t>
      </w:r>
    </w:p>
    <w:p>
      <w:pPr>
        <w:pStyle w:val="ListBullet"/>
        <w:spacing w:after="40" w:before="0"/>
      </w:pPr>
      <w:r>
        <w:t>Use P95 as the sustained planning signal and P99 as the burst/risk signal.</w:t>
      </w:r>
    </w:p>
    <w:p>
      <w:pPr>
        <w:pStyle w:val="ListBullet"/>
        <w:spacing w:after="40" w:before="0"/>
      </w:pPr>
      <w:r>
        <w:t>Recommended planning thresholds: P95 ≤ 70% of effective capability; P99 ≤ 90%.</w:t>
      </w:r>
    </w:p>
    <w:p>
      <w:pPr>
        <w:pStyle w:val="ListBullet"/>
        <w:spacing w:after="40" w:before="0"/>
      </w:pPr>
      <w:r>
        <w:t>Elevated read/write latency or queueing lowers confidence even when nominal IOPS/throughput percentages pass.</w:t>
      </w:r>
    </w:p>
    <w:p>
      <w:pPr>
        <w:pStyle w:val="ListBullet"/>
        <w:spacing w:after="40" w:before="0"/>
      </w:pPr>
      <w:r>
        <w:t>If current provisioned IOPS/throughput is itself oversized, Chodo may recommend reducing storage provisioning as a separate cost optimization after target-instance safety is established.</w:t>
      </w:r>
    </w:p>
    <w:p>
      <w:pPr>
        <w:pStyle w:val="Heading1"/>
      </w:pPr>
      <w:r>
        <w:t>6. When I/O Fails: Investigate NVMe / Storage Alternatives Before Rejecting</w:t>
      </w:r>
    </w:p>
    <w:p>
      <w:r>
        <w:t>An IOPS or throughput failure on a smaller candidate should not automatically end the optimization. Chodo must determine whether the limitation is caused by the candidate instance, the storage configuration, or the storage architecture.</w:t>
      </w:r>
    </w:p>
    <w:p>
      <w:pPr>
        <w:pStyle w:val="ListBullet"/>
        <w:spacing w:after="40" w:before="0"/>
      </w:pPr>
      <w:r>
        <w:t>If the target family offers materially higher local NVMe capability or a different storage path appropriate to the workload, evaluate that alternative before rejecting the cost reduction.</w:t>
      </w:r>
    </w:p>
    <w:p>
      <w:pPr>
        <w:pStyle w:val="ListBullet"/>
        <w:spacing w:after="40" w:before="0"/>
      </w:pPr>
      <w:r>
        <w:t>For families/configurations without NVMe, test whether gp3 / provisioned IOPS / throughput settings can safely satisfy the workload at lower total cost.</w:t>
      </w:r>
    </w:p>
    <w:p>
      <w:pPr>
        <w:pStyle w:val="ListBullet"/>
        <w:spacing w:after="40" w:before="0"/>
      </w:pPr>
      <w:r>
        <w:t>Compare total cost of instance + storage + SQL Server licensing, not instance price alone.</w:t>
      </w:r>
    </w:p>
    <w:p>
      <w:pPr>
        <w:pStyle w:val="ListBullet"/>
        <w:spacing w:after="40" w:before="0"/>
      </w:pPr>
      <w:r>
        <w:t>If a lower-cost candidate becomes viable only by increasing storage cost, keep it only when total monthly cost is still lower and all latency/availability requirements pass.</w:t>
      </w:r>
    </w:p>
    <w:p>
      <w:pPr>
        <w:pStyle w:val="ListBullet"/>
        <w:spacing w:after="40" w:before="0"/>
      </w:pPr>
      <w:r>
        <w:t>If neither target storage nor an approved NVMe/storage alternative can support observed P95/P99 demand with headroom, FAIL the candidate.</w:t>
      </w:r>
    </w:p>
    <w:p>
      <w:pPr>
        <w:pStyle w:val="Heading1"/>
      </w:pPr>
      <w:r>
        <w:t>7. Remaining Candidate Gates</w:t>
      </w:r>
    </w:p>
    <w:p>
      <w:pPr>
        <w:pStyle w:val="ListBullet"/>
        <w:spacing w:after="40" w:before="0"/>
      </w:pPr>
      <w:r>
        <w:t>Network: validate receive/transmit throughput and target instance network ceilings; use concurrent P95/P99 and reject hard limit violations.</w:t>
      </w:r>
    </w:p>
    <w:p>
      <w:pPr>
        <w:pStyle w:val="ListBullet"/>
        <w:spacing w:after="40" w:before="0"/>
      </w:pPr>
      <w:r>
        <w:t>EBS/storage bandwidth: validate target family limits independently from provisioned storage limits.</w:t>
      </w:r>
    </w:p>
    <w:p>
      <w:pPr>
        <w:pStyle w:val="ListBullet"/>
        <w:spacing w:after="40" w:before="0"/>
      </w:pPr>
      <w:r>
        <w:t>Connections/workers: ensure target SQL Server and RDS platform limits remain sufficient.</w:t>
      </w:r>
    </w:p>
    <w:p>
      <w:pPr>
        <w:pStyle w:val="ListBullet"/>
        <w:spacing w:after="40" w:before="0"/>
      </w:pPr>
      <w:r>
        <w:t>Engine/version/edition compatibility: reject unsupported instance/engine combinations.</w:t>
      </w:r>
    </w:p>
    <w:p>
      <w:pPr>
        <w:pStyle w:val="ListBullet"/>
        <w:spacing w:after="40" w:before="0"/>
      </w:pPr>
      <w:r>
        <w:t>Multi-AZ: do not remove availability architecture automatically for savings; treat as a business-policy recommendation requiring explicit validation.</w:t>
      </w:r>
    </w:p>
    <w:p>
      <w:pPr>
        <w:pStyle w:val="ListBullet"/>
        <w:spacing w:after="40" w:before="0"/>
      </w:pPr>
      <w:r>
        <w:t>Edition change: never treat as a routine low-risk size reduction; require feature dependency analysis and customer validation.</w:t>
      </w:r>
    </w:p>
    <w:p>
      <w:pPr>
        <w:pStyle w:val="ListBullet"/>
        <w:spacing w:after="40" w:before="0"/>
      </w:pPr>
      <w:r>
        <w:t>Pricing: if authoritative pricing cannot be obtained or normalized correctly, do not publish savings.</w:t>
      </w:r>
    </w:p>
    <w:p>
      <w:pPr>
        <w:pStyle w:val="ListBullet"/>
        <w:spacing w:after="40" w:before="0"/>
      </w:pPr>
      <w:r>
        <w:t>Optimize CPU: include as a candidate when retaining memory while reducing licensed CPU produces a lower-cost valid configuration.</w:t>
      </w:r>
    </w:p>
    <w:p>
      <w:pPr>
        <w:pStyle w:val="Heading1"/>
      </w:pPr>
      <w:r>
        <w:t>8. Candidate Ranking and Stop Condition</w:t>
      </w:r>
    </w:p>
    <w:p>
      <w:r>
        <w:t>Chodo should not recommend “one size down.” It should recommend the cheapest supported target that passes the full validation chain.</w:t>
      </w:r>
    </w:p>
    <w:p>
      <w:pPr>
        <w:pStyle w:val="ListNumber"/>
        <w:spacing w:after="40"/>
      </w:pPr>
      <w:r>
        <w:t>Generate all cheaper candidates that are technically eligible.</w:t>
      </w:r>
    </w:p>
    <w:p>
      <w:pPr>
        <w:pStyle w:val="ListNumber"/>
        <w:spacing w:after="40"/>
      </w:pPr>
      <w:r>
        <w:t>Evaluate CPU first.</w:t>
      </w:r>
    </w:p>
    <w:p>
      <w:pPr>
        <w:pStyle w:val="ListNumber"/>
        <w:spacing w:after="40"/>
      </w:pPr>
      <w:r>
        <w:t>For CPU survivors, test memory fit; investigate ambiguous/high-memory cases before rejection.</w:t>
      </w:r>
    </w:p>
    <w:p>
      <w:pPr>
        <w:pStyle w:val="ListNumber"/>
        <w:spacing w:after="40"/>
      </w:pPr>
      <w:r>
        <w:t>For CPU+memory survivors, test IOPS and throughput.</w:t>
      </w:r>
    </w:p>
    <w:p>
      <w:pPr>
        <w:pStyle w:val="ListNumber"/>
        <w:spacing w:after="40"/>
      </w:pPr>
      <w:r>
        <w:t>If I/O fails, test approved storage/NVMe alternatives and recalculate total cost.</w:t>
      </w:r>
    </w:p>
    <w:p>
      <w:pPr>
        <w:pStyle w:val="ListNumber"/>
        <w:spacing w:after="40"/>
      </w:pPr>
      <w:r>
        <w:t>Validate remaining platform gates.</w:t>
      </w:r>
    </w:p>
    <w:p>
      <w:pPr>
        <w:pStyle w:val="ListNumber"/>
        <w:spacing w:after="40"/>
      </w:pPr>
      <w:r>
        <w:t>Discard all FAIL candidates.</w:t>
      </w:r>
    </w:p>
    <w:p>
      <w:pPr>
        <w:pStyle w:val="ListNumber"/>
        <w:spacing w:after="40"/>
      </w:pPr>
      <w:r>
        <w:t>Rank surviving candidates by total monthly cost, including SQL Server license effect and storage cost.</w:t>
      </w:r>
    </w:p>
    <w:p>
      <w:pPr>
        <w:pStyle w:val="ListNumber"/>
        <w:spacing w:after="40"/>
      </w:pPr>
      <w:r>
        <w:t>Recommend the lowest-cost PASS candidate. A WARN candidate can only be surfaced as “Consider with Validation,” not as hands-free “Recommended.”</w:t>
      </w:r>
    </w:p>
    <w:p>
      <w:pPr>
        <w:pStyle w:val="Heading1"/>
      </w:pPr>
      <w:r>
        <w:t>9. Worked Example: 12xlarge, 20% CPU, 50% Memory</w:t>
      </w:r>
    </w:p>
    <w:p>
      <w:r>
        <w:t>Illustrative logic only; actual instance specifications must come from the platform catalog used by Chodo.</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0B1D3A"/>
          </w:tcPr>
          <w:p>
            <w:r/>
            <w:r>
              <w:rPr>
                <w:rFonts w:ascii="Aptos" w:hAnsi="Aptos"/>
                <w:b/>
                <w:color w:val="FFFFFF"/>
                <w:sz w:val="16"/>
              </w:rPr>
              <w:t>Candidate</w:t>
            </w:r>
          </w:p>
        </w:tc>
        <w:tc>
          <w:tcPr>
            <w:tcW w:type="dxa" w:w="1694"/>
            <w:vAlign w:val="center"/>
            <w:shd w:fill="0B1D3A"/>
          </w:tcPr>
          <w:p>
            <w:r/>
            <w:r>
              <w:rPr>
                <w:rFonts w:ascii="Aptos" w:hAnsi="Aptos"/>
                <w:b/>
                <w:color w:val="FFFFFF"/>
                <w:sz w:val="16"/>
              </w:rPr>
              <w:t>CPU Projection</w:t>
            </w:r>
          </w:p>
        </w:tc>
        <w:tc>
          <w:tcPr>
            <w:tcW w:type="dxa" w:w="1694"/>
            <w:vAlign w:val="center"/>
            <w:shd w:fill="0B1D3A"/>
          </w:tcPr>
          <w:p>
            <w:r/>
            <w:r>
              <w:rPr>
                <w:rFonts w:ascii="Aptos" w:hAnsi="Aptos"/>
                <w:b/>
                <w:color w:val="FFFFFF"/>
                <w:sz w:val="16"/>
              </w:rPr>
              <w:t>Memory Screen</w:t>
            </w:r>
          </w:p>
        </w:tc>
        <w:tc>
          <w:tcPr>
            <w:tcW w:type="dxa" w:w="1694"/>
            <w:vAlign w:val="center"/>
            <w:shd w:fill="0B1D3A"/>
          </w:tcPr>
          <w:p>
            <w:r/>
            <w:r>
              <w:rPr>
                <w:rFonts w:ascii="Aptos" w:hAnsi="Aptos"/>
                <w:b/>
                <w:color w:val="FFFFFF"/>
                <w:sz w:val="16"/>
              </w:rPr>
              <w:t>I/O</w:t>
            </w:r>
          </w:p>
        </w:tc>
        <w:tc>
          <w:tcPr>
            <w:tcW w:type="dxa" w:w="1694"/>
            <w:vAlign w:val="center"/>
            <w:shd w:fill="0B1D3A"/>
          </w:tcPr>
          <w:p>
            <w:r/>
            <w:r>
              <w:rPr>
                <w:rFonts w:ascii="Aptos" w:hAnsi="Aptos"/>
                <w:b/>
                <w:color w:val="FFFFFF"/>
                <w:sz w:val="16"/>
              </w:rPr>
              <w:t>Result</w:t>
            </w:r>
          </w:p>
        </w:tc>
        <w:tc>
          <w:tcPr>
            <w:tcW w:type="dxa" w:w="1694"/>
            <w:vAlign w:val="center"/>
            <w:shd w:fill="0B1D3A"/>
          </w:tcPr>
          <w:p>
            <w:r/>
            <w:r>
              <w:rPr>
                <w:rFonts w:ascii="Aptos" w:hAnsi="Aptos"/>
                <w:b/>
                <w:color w:val="FFFFFF"/>
                <w:sz w:val="16"/>
              </w:rPr>
              <w:t>Action</w:t>
            </w:r>
          </w:p>
        </w:tc>
      </w:tr>
      <w:tr>
        <w:tc>
          <w:tcPr>
            <w:tcW w:type="dxa" w:w="1694"/>
            <w:vAlign w:val="center"/>
          </w:tcPr>
          <w:p>
            <w:r/>
            <w:r>
              <w:rPr>
                <w:rFonts w:ascii="Aptos" w:hAnsi="Aptos"/>
                <w:b w:val="0"/>
                <w:sz w:val="15"/>
              </w:rPr>
              <w:t>One size down</w:t>
            </w:r>
          </w:p>
        </w:tc>
        <w:tc>
          <w:tcPr>
            <w:tcW w:type="dxa" w:w="1694"/>
            <w:vAlign w:val="center"/>
          </w:tcPr>
          <w:p>
            <w:r/>
            <w:r>
              <w:rPr>
                <w:rFonts w:ascii="Aptos" w:hAnsi="Aptos"/>
                <w:b w:val="0"/>
                <w:sz w:val="15"/>
              </w:rPr>
              <w:t>Low / likely pass</w:t>
            </w:r>
          </w:p>
        </w:tc>
        <w:tc>
          <w:tcPr>
            <w:tcW w:type="dxa" w:w="1694"/>
            <w:vAlign w:val="center"/>
          </w:tcPr>
          <w:p>
            <w:r/>
            <w:r>
              <w:rPr>
                <w:rFonts w:ascii="Aptos" w:hAnsi="Aptos"/>
                <w:b w:val="0"/>
                <w:sz w:val="15"/>
              </w:rPr>
              <w:t>If target RAM &gt; estimated demand, investigate pressure only as needed</w:t>
            </w:r>
          </w:p>
        </w:tc>
        <w:tc>
          <w:tcPr>
            <w:tcW w:type="dxa" w:w="1694"/>
            <w:vAlign w:val="center"/>
          </w:tcPr>
          <w:p>
            <w:r/>
            <w:r>
              <w:rPr>
                <w:rFonts w:ascii="Aptos" w:hAnsi="Aptos"/>
                <w:b w:val="0"/>
                <w:sz w:val="15"/>
              </w:rPr>
              <w:t>Check target limits</w:t>
            </w:r>
          </w:p>
        </w:tc>
        <w:tc>
          <w:tcPr>
            <w:tcW w:type="dxa" w:w="1694"/>
            <w:vAlign w:val="center"/>
          </w:tcPr>
          <w:p>
            <w:r/>
            <w:r>
              <w:rPr>
                <w:rFonts w:ascii="Aptos" w:hAnsi="Aptos"/>
                <w:b w:val="0"/>
                <w:sz w:val="15"/>
              </w:rPr>
              <w:t>Candidate survives if all pass</w:t>
            </w:r>
          </w:p>
        </w:tc>
        <w:tc>
          <w:tcPr>
            <w:tcW w:type="dxa" w:w="1694"/>
            <w:vAlign w:val="center"/>
          </w:tcPr>
          <w:p>
            <w:r/>
            <w:r>
              <w:rPr>
                <w:rFonts w:ascii="Aptos" w:hAnsi="Aptos"/>
                <w:b w:val="0"/>
                <w:sz w:val="15"/>
              </w:rPr>
              <w:t>Continue testing smaller sizes</w:t>
            </w:r>
          </w:p>
        </w:tc>
      </w:tr>
      <w:tr>
        <w:tc>
          <w:tcPr>
            <w:tcW w:type="dxa" w:w="1694"/>
            <w:vAlign w:val="center"/>
          </w:tcPr>
          <w:p>
            <w:r/>
            <w:r>
              <w:rPr>
                <w:rFonts w:ascii="Aptos" w:hAnsi="Aptos"/>
                <w:b w:val="0"/>
                <w:sz w:val="15"/>
              </w:rPr>
              <w:t>Two sizes down</w:t>
            </w:r>
          </w:p>
        </w:tc>
        <w:tc>
          <w:tcPr>
            <w:tcW w:type="dxa" w:w="1694"/>
            <w:vAlign w:val="center"/>
          </w:tcPr>
          <w:p>
            <w:r/>
            <w:r>
              <w:rPr>
                <w:rFonts w:ascii="Aptos" w:hAnsi="Aptos"/>
                <w:b w:val="0"/>
                <w:sz w:val="15"/>
              </w:rPr>
              <w:t>May still pass CPU</w:t>
            </w:r>
          </w:p>
        </w:tc>
        <w:tc>
          <w:tcPr>
            <w:tcW w:type="dxa" w:w="1694"/>
            <w:vAlign w:val="center"/>
          </w:tcPr>
          <w:p>
            <w:r/>
            <w:r>
              <w:rPr>
                <w:rFonts w:ascii="Aptos" w:hAnsi="Aptos"/>
                <w:b w:val="0"/>
                <w:sz w:val="15"/>
              </w:rPr>
              <w:t>If target RAM appears below observed use, run memory investigation</w:t>
            </w:r>
          </w:p>
        </w:tc>
        <w:tc>
          <w:tcPr>
            <w:tcW w:type="dxa" w:w="1694"/>
            <w:vAlign w:val="center"/>
          </w:tcPr>
          <w:p>
            <w:r/>
            <w:r>
              <w:rPr>
                <w:rFonts w:ascii="Aptos" w:hAnsi="Aptos"/>
                <w:b w:val="0"/>
                <w:sz w:val="15"/>
              </w:rPr>
              <w:t>Only check if memory survives</w:t>
            </w:r>
          </w:p>
        </w:tc>
        <w:tc>
          <w:tcPr>
            <w:tcW w:type="dxa" w:w="1694"/>
            <w:vAlign w:val="center"/>
          </w:tcPr>
          <w:p>
            <w:r/>
            <w:r>
              <w:rPr>
                <w:rFonts w:ascii="Aptos" w:hAnsi="Aptos"/>
                <w:b w:val="0"/>
                <w:sz w:val="15"/>
              </w:rPr>
              <w:t>Pass / Warn / Fail</w:t>
            </w:r>
          </w:p>
        </w:tc>
        <w:tc>
          <w:tcPr>
            <w:tcW w:type="dxa" w:w="1694"/>
            <w:vAlign w:val="center"/>
          </w:tcPr>
          <w:p>
            <w:r/>
            <w:r>
              <w:rPr>
                <w:rFonts w:ascii="Aptos" w:hAnsi="Aptos"/>
                <w:b w:val="0"/>
                <w:sz w:val="15"/>
              </w:rPr>
              <w:t>Do not reject solely on raw “100% memory used”</w:t>
            </w:r>
          </w:p>
        </w:tc>
      </w:tr>
      <w:tr>
        <w:tc>
          <w:tcPr>
            <w:tcW w:type="dxa" w:w="1694"/>
            <w:vAlign w:val="center"/>
          </w:tcPr>
          <w:p>
            <w:r/>
            <w:r>
              <w:rPr>
                <w:rFonts w:ascii="Aptos" w:hAnsi="Aptos"/>
                <w:b w:val="0"/>
                <w:sz w:val="15"/>
              </w:rPr>
              <w:t>Further down</w:t>
            </w:r>
          </w:p>
        </w:tc>
        <w:tc>
          <w:tcPr>
            <w:tcW w:type="dxa" w:w="1694"/>
            <w:vAlign w:val="center"/>
          </w:tcPr>
          <w:p>
            <w:r/>
            <w:r>
              <w:rPr>
                <w:rFonts w:ascii="Aptos" w:hAnsi="Aptos"/>
                <w:b w:val="0"/>
                <w:sz w:val="15"/>
              </w:rPr>
              <w:t>Eventually fails CPU or memory</w:t>
            </w:r>
          </w:p>
        </w:tc>
        <w:tc>
          <w:tcPr>
            <w:tcW w:type="dxa" w:w="1694"/>
            <w:vAlign w:val="center"/>
          </w:tcPr>
          <w:p>
            <w:r/>
            <w:r>
              <w:rPr>
                <w:rFonts w:ascii="Aptos" w:hAnsi="Aptos"/>
                <w:b w:val="0"/>
                <w:sz w:val="15"/>
              </w:rPr>
              <w:t>Investigation cannot override real sustained pressure</w:t>
            </w:r>
          </w:p>
        </w:tc>
        <w:tc>
          <w:tcPr>
            <w:tcW w:type="dxa" w:w="1694"/>
            <w:vAlign w:val="center"/>
          </w:tcPr>
          <w:p>
            <w:r/>
            <w:r>
              <w:rPr>
                <w:rFonts w:ascii="Aptos" w:hAnsi="Aptos"/>
                <w:b w:val="0"/>
                <w:sz w:val="15"/>
              </w:rPr>
              <w:t>May also fail I/O</w:t>
            </w:r>
          </w:p>
        </w:tc>
        <w:tc>
          <w:tcPr>
            <w:tcW w:type="dxa" w:w="1694"/>
            <w:vAlign w:val="center"/>
          </w:tcPr>
          <w:p>
            <w:r/>
            <w:r>
              <w:rPr>
                <w:rFonts w:ascii="Aptos" w:hAnsi="Aptos"/>
                <w:b w:val="0"/>
                <w:sz w:val="15"/>
              </w:rPr>
              <w:t>Reject</w:t>
            </w:r>
          </w:p>
        </w:tc>
        <w:tc>
          <w:tcPr>
            <w:tcW w:type="dxa" w:w="1694"/>
            <w:vAlign w:val="center"/>
          </w:tcPr>
          <w:p>
            <w:r/>
            <w:r>
              <w:rPr>
                <w:rFonts w:ascii="Aptos" w:hAnsi="Aptos"/>
                <w:b w:val="0"/>
                <w:sz w:val="15"/>
              </w:rPr>
              <w:t>Recommend cheapest earlier PASS candidate</w:t>
            </w:r>
          </w:p>
        </w:tc>
      </w:tr>
    </w:tbl>
    <w:p>
      <w:pPr>
        <w:pStyle w:val="Heading1"/>
      </w:pPr>
      <w:r>
        <w:t>10. Guardrail Rule Contract</w:t>
      </w:r>
    </w:p>
    <w:p>
      <w:r>
        <w:t>Every rule must return a structured result so production decisions can be audited and regression-tested.</w:t>
      </w:r>
    </w:p>
    <w:p>
      <w:pPr>
        <w:pStyle w:val="IntenseQuote"/>
      </w:pPr>
      <w:r>
        <w:t>RuleResult = rule_id | status PASS/WARN/FAIL | metric | actual_value | threshold/expectation | reason | candidate_id | confidence_impact | severity | rule_version</w:t>
      </w:r>
    </w:p>
    <w:p>
      <w:pPr>
        <w:pStyle w:val="ListBullet"/>
        <w:spacing w:after="40" w:before="0"/>
      </w:pPr>
      <w:r>
        <w:t>PASS: candidate remains eligible.</w:t>
      </w:r>
    </w:p>
    <w:p>
      <w:pPr>
        <w:pStyle w:val="ListBullet"/>
        <w:spacing w:after="40" w:before="0"/>
      </w:pPr>
      <w:r>
        <w:t>WARN: candidate remains eligible only for validation-required output; lower confidence/risk label accordingly.</w:t>
      </w:r>
    </w:p>
    <w:p>
      <w:pPr>
        <w:pStyle w:val="ListBullet"/>
        <w:spacing w:after="40" w:before="0"/>
      </w:pPr>
      <w:r>
        <w:t>FAIL: candidate is removed from consideration.</w:t>
      </w:r>
    </w:p>
    <w:p>
      <w:pPr>
        <w:pStyle w:val="Heading1"/>
      </w:pPr>
      <w:r>
        <w:t>11. Per-Customer Final Validation</w:t>
      </w:r>
    </w:p>
    <w:p>
      <w:pPr>
        <w:pStyle w:val="ListNumber"/>
        <w:spacing w:after="40"/>
      </w:pPr>
      <w:r>
        <w:t>Validate collector completeness and metric sanity.</w:t>
      </w:r>
    </w:p>
    <w:p>
      <w:pPr>
        <w:pStyle w:val="ListNumber"/>
        <w:spacing w:after="40"/>
      </w:pPr>
      <w:r>
        <w:t>Run cost-first candidate generation.</w:t>
      </w:r>
    </w:p>
    <w:p>
      <w:pPr>
        <w:pStyle w:val="ListNumber"/>
        <w:spacing w:after="40"/>
      </w:pPr>
      <w:r>
        <w:t>Run CPU → memory → I/O → NVMe/storage alternative → platform gates in order.</w:t>
      </w:r>
    </w:p>
    <w:p>
      <w:pPr>
        <w:pStyle w:val="ListNumber"/>
        <w:spacing w:after="40"/>
      </w:pPr>
      <w:r>
        <w:t>Run anomaly checks on savings, capacity deltas, pricing and recommendation confidence.</w:t>
      </w:r>
    </w:p>
    <w:p>
      <w:pPr>
        <w:pStyle w:val="ListNumber"/>
        <w:spacing w:after="40"/>
      </w:pPr>
      <w:r>
        <w:t>If the cheapest candidate fails, move to the next cheapest survivor rather than defaulting to current size.</w:t>
      </w:r>
    </w:p>
    <w:p>
      <w:pPr>
        <w:pStyle w:val="ListNumber"/>
        <w:spacing w:after="40"/>
      </w:pPr>
      <w:r>
        <w:t>If no candidate passes, output “No safe cost optimization identified.”</w:t>
      </w:r>
    </w:p>
    <w:p>
      <w:pPr>
        <w:pStyle w:val="ListNumber"/>
        <w:spacing w:after="40"/>
      </w:pPr>
      <w:r>
        <w:t>Release hands-free recommendations only when final status is PASS.</w:t>
      </w:r>
    </w:p>
    <w:p>
      <w:pPr>
        <w:pStyle w:val="Heading1"/>
      </w:pPr>
      <w:r>
        <w:t>12. Regression Testing for Every Production Change</w:t>
      </w:r>
    </w:p>
    <w:p>
      <w:r>
        <w:t>The same sizing and guardrail rules must run against a golden dataset suite before any production release and can also run after every customer assessment as an independent final check.</w:t>
      </w:r>
    </w:p>
    <w:p>
      <w:pPr>
        <w:pStyle w:val="ListBullet"/>
        <w:spacing w:after="40" w:before="0"/>
      </w:pPr>
      <w:r>
        <w:t>Golden cases: CPU-bound, memory-bound, I/O-bound, low-CPU/high-memory, bursty CPU, high memory with no pressure, high memory with real pressure, storage-limited, NVMe-benefit, network-limited, missing-data, noisy-data, unsupported transition, pricing failure.</w:t>
      </w:r>
    </w:p>
    <w:p>
      <w:pPr>
        <w:pStyle w:val="ListBullet"/>
        <w:spacing w:after="40" w:before="0"/>
      </w:pPr>
      <w:r>
        <w:t>Exact assertions: recommended target, PASS/WARN/FAIL gates, risk class, unsupported transitions, final release state.</w:t>
      </w:r>
    </w:p>
    <w:p>
      <w:pPr>
        <w:pStyle w:val="ListBullet"/>
        <w:spacing w:after="40" w:before="0"/>
      </w:pPr>
      <w:r>
        <w:t>Tolerance assertions: projected utilization, cost, savings and percentile calculations within explicit tolerances.</w:t>
      </w:r>
    </w:p>
    <w:p>
      <w:pPr>
        <w:pStyle w:val="ListBullet"/>
        <w:spacing w:after="40" w:before="0"/>
      </w:pPr>
      <w:r>
        <w:t>Zero critical safety regressions allowed.</w:t>
      </w:r>
    </w:p>
    <w:p>
      <w:pPr>
        <w:pStyle w:val="ListBullet"/>
        <w:spacing w:after="40" w:before="0"/>
      </w:pPr>
      <w:r>
        <w:t>Any intentional change to a golden recommendation requires explicit review and documented rationale.</w:t>
      </w:r>
    </w:p>
    <w:p>
      <w:pPr>
        <w:pStyle w:val="ListBullet"/>
        <w:spacing w:after="40" w:before="0"/>
      </w:pPr>
      <w:r>
        <w:t>Every production defect becomes a permanent regression fixture.</w:t>
      </w:r>
    </w:p>
    <w:p>
      <w:pPr>
        <w:pStyle w:val="Heading1"/>
      </w:pPr>
      <w:r>
        <w:t>13. Launch-Phase Human Review</w:t>
      </w:r>
    </w:p>
    <w:p>
      <w:r>
        <w:t>For the first 25–50 customer environments, run shadow review: Chodo produces the recommendation, an expert independently validates it, and disagreements are classified and added to the regression library. The goal is to prove that the cost-first algorithm is aggressive enough to find savings without violating hard safety gates.</w:t>
      </w:r>
    </w:p>
    <w:p>
      <w:pPr>
        <w:pStyle w:val="Heading1"/>
      </w:pPr>
      <w:r>
        <w:t>14. Customer-Facing Verdicts</w:t>
      </w:r>
    </w:p>
    <w:p>
      <w:pPr>
        <w:pStyle w:val="ListBullet"/>
        <w:spacing w:after="40" w:before="0"/>
      </w:pPr>
      <w:r>
        <w:t>Recommended — cheapest candidate passes all hard gates and evidence quality is sufficient for hands-free release.</w:t>
      </w:r>
    </w:p>
    <w:p>
      <w:pPr>
        <w:pStyle w:val="ListBullet"/>
        <w:spacing w:after="40" w:before="0"/>
      </w:pPr>
      <w:r>
        <w:t>Consider with Validation — a cheaper candidate exists, but one or more WARN conditions require customer/expert validation.</w:t>
      </w:r>
    </w:p>
    <w:p>
      <w:pPr>
        <w:pStyle w:val="ListBullet"/>
        <w:spacing w:after="40" w:before="0"/>
      </w:pPr>
      <w:r>
        <w:t>No Safe Optimization Identified — all cheaper candidates fail at least one hard gate.</w:t>
      </w:r>
    </w:p>
    <w:p>
      <w:pPr>
        <w:pStyle w:val="ListBullet"/>
        <w:spacing w:after="40" w:before="0"/>
      </w:pPr>
      <w:r>
        <w:t>Insufficient Evidence — required data is missing or invalid, so Chodo cannot prove a cheaper target safe.</w:t>
      </w:r>
    </w:p>
    <w:p>
      <w:pPr>
        <w:pStyle w:val="Heading1"/>
      </w:pPr>
      <w:r>
        <w:t>15. Implementation Checklist</w:t>
      </w:r>
    </w:p>
    <w:p>
      <w:r>
        <w:t>☐ Cost-first objective is explicit and versioned.</w:t>
      </w:r>
    </w:p>
    <w:p>
      <w:r>
        <w:t>☐ All cheaper supported candidates are generated, not just one size down.</w:t>
      </w:r>
    </w:p>
    <w:p>
      <w:r>
        <w:t>☐ SQL CPU projection is sample-based; P95/P99 and concurrent total CPU gates are implemented.</w:t>
      </w:r>
    </w:p>
    <w:p>
      <w:r>
        <w:t>☐ Memory uses fit-first logic plus deeper investigation before rejection when raw utilization is ambiguous/high.</w:t>
      </w:r>
    </w:p>
    <w:p>
      <w:r>
        <w:t>☐ 100% memory utilization is an investigation trigger, not an automatic fail.</w:t>
      </w:r>
    </w:p>
    <w:p>
      <w:r>
        <w:t>☐ IOPS and throughput use target instance + storage effective ceilings.</w:t>
      </w:r>
    </w:p>
    <w:p>
      <w:r>
        <w:t>☐ NVMe/storage alternatives are evaluated when I/O blocks an otherwise attractive candidate.</w:t>
      </w:r>
    </w:p>
    <w:p>
      <w:r>
        <w:t>☐ Network/EBS/platform/edition/Multi-AZ/pricing gates are enforced.</w:t>
      </w:r>
    </w:p>
    <w:p>
      <w:r>
        <w:t>☐ Optimize CPU can compete as an alternative candidate where appropriate.</w:t>
      </w:r>
    </w:p>
    <w:p>
      <w:r>
        <w:t>☐ Survivors are ranked by total cost including license and storage cost.</w:t>
      </w:r>
    </w:p>
    <w:p>
      <w:r>
        <w:t>☐ PASS/WARN/FAIL rule contract is centralized and versioned.</w:t>
      </w:r>
    </w:p>
    <w:p>
      <w:r>
        <w:t>☐ Per-customer final validation runs before report release.</w:t>
      </w:r>
    </w:p>
    <w:p>
      <w:r>
        <w:t>☐ Golden regression suite blocks critical safety regressions.</w:t>
      </w:r>
    </w:p>
    <w:p>
      <w:r>
        <w:t>☐ First 25–50 customer runs receive shadow expert review.</w:t>
      </w:r>
    </w:p>
    <w:p>
      <w:pPr>
        <w:pStyle w:val="Heading1"/>
      </w:pPr>
      <w:r>
        <w:t>16. Locked Chodo Sizing Policy</w:t>
      </w:r>
    </w:p>
    <w:p>
      <w:r>
        <w:rPr>
          <w:b/>
        </w:rPr>
        <w:t xml:space="preserve">Chodo should be aggressive in searching for lower cost and conservative only at the safety gates. </w:t>
      </w:r>
      <w:r>
        <w:t>Lead with SQL CPU to determine the potential reduction range. Evaluate every cheaper size. Make memory prove whether the target fits; investigate high or ambiguous memory before rejecting. Then make IOPS and throughput prove the target can carry the workload; investigate approved NVMe/storage alternatives before rejecting. Validate network and platform constraints. Finally, recommend the lowest-cost candidate that passes all hard gates.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Chodo — Internal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2F5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6F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