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D3A"/>
          <w:sz w:val="60"/>
        </w:rPr>
        <w:t>CHODO</w:t>
      </w:r>
    </w:p>
    <w:p>
      <w:pPr>
        <w:jc w:val="center"/>
      </w:pPr>
      <w:r>
        <w:rPr>
          <w:b/>
          <w:color w:val="13B5C6"/>
          <w:sz w:val="44"/>
        </w:rPr>
        <w:t>Rule &amp; Guardrail Engine Specification</w:t>
      </w:r>
    </w:p>
    <w:p>
      <w:pPr>
        <w:jc w:val="center"/>
      </w:pPr>
      <w:r>
        <w:rPr>
          <w:color w:val="1E2F5E"/>
          <w:sz w:val="26"/>
        </w:rPr>
        <w:t>Cost and SQL Server License Optimization for Amazon RDS</w:t>
      </w:r>
    </w:p>
    <w:p/>
    <w:p>
      <w:pPr>
        <w:pStyle w:val="Callout"/>
        <w:jc w:val="center"/>
      </w:pPr>
      <w:r>
        <w:t>Primary objective: minimize total RDS SQL Server cost and licensing cost, subject to hard performance and platform safety constraints.</w:t>
      </w:r>
    </w:p>
    <w:p/>
    <w:p>
      <w:pPr>
        <w:jc w:val="center"/>
      </w:pPr>
      <w:r>
        <w:rPr>
          <w:i/>
          <w:color w:val="5A677A"/>
          <w:sz w:val="18"/>
        </w:rPr>
        <w:t>Version 3 — CPU-led multi-size optimization, candidate-specific memory and I/O validation, NVMe-aware alternatives, post-run validation, and regression gating</w:t>
      </w:r>
    </w:p>
    <w:p>
      <w:r>
        <w:br w:type="page"/>
      </w:r>
    </w:p>
    <w:p>
      <w:pPr>
        <w:pStyle w:val="Heading1"/>
      </w:pPr>
      <w:r>
        <w:t>1. Operating Principle</w:t>
      </w:r>
    </w:p>
    <w:p>
      <w:r>
        <w:t>Chodo is not a capacity-preservation engine. It is a cost optimization engine. CPU identifies how far the workload may be able to move down. Memory, IOPS, throughput, network, SQL Server constraints, and platform limits decide which cheaper candidates remain safe.</w:t>
      </w:r>
    </w:p>
    <w:p>
      <w:pPr>
        <w:pStyle w:val="Callout"/>
      </w:pPr>
      <w:r>
        <w:t>Core rule: Recommend the lowest-cost valid configuration that passes every hard safety gate.</w:t>
      </w:r>
    </w:p>
    <w:p>
      <w:r>
        <w:t>A smaller candidate should not be rejected merely because one utilization metric is high. When a metric appears to block a cost-saving candidate, Chodo investigates whether the observed value represents real resource pressure or normal SQL Server behavior.</w:t>
      </w:r>
    </w:p>
    <w:p>
      <w:pPr>
        <w:pStyle w:val="Heading2"/>
      </w:pPr>
      <w:r>
        <w:t>Decision philosophy</w:t>
      </w:r>
    </w:p>
    <w:p>
      <w:pPr>
        <w:pStyle w:val="ListBullet"/>
      </w:pPr>
      <w:r>
        <w:t>Aggressive in searching for lower-cost candidates.</w:t>
      </w:r>
    </w:p>
    <w:p>
      <w:pPr>
        <w:pStyle w:val="ListBullet"/>
      </w:pPr>
      <w:r>
        <w:t>Deterministic and conservative at hard safety gates.</w:t>
      </w:r>
    </w:p>
    <w:p>
      <w:pPr>
        <w:pStyle w:val="ListBullet"/>
      </w:pPr>
      <w:r>
        <w:t>Do not force a recommendation when no cheaper candidate can be proven safe.</w:t>
      </w:r>
    </w:p>
    <w:p>
      <w:pPr>
        <w:pStyle w:val="ListBullet"/>
      </w:pPr>
      <w:r>
        <w:t>SQL Server CPU is the primary vCPU and licensing-rightsizing signal.</w:t>
      </w:r>
    </w:p>
    <w:p>
      <w:pPr>
        <w:pStyle w:val="ListBullet"/>
      </w:pPr>
      <w:r>
        <w:t>Cost ranking occurs only after technical safety validation.</w:t>
      </w:r>
    </w:p>
    <w:p>
      <w:pPr>
        <w:pStyle w:val="Heading1"/>
      </w:pPr>
      <w:r>
        <w:t>2. End-to-End Optimization Flow</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0B1D3A"/>
          </w:tcPr>
          <w:p>
            <w:r/>
            <w:r>
              <w:rPr>
                <w:rFonts w:ascii="Aptos" w:hAnsi="Aptos"/>
                <w:b/>
                <w:color w:val="FFFFFF"/>
                <w:sz w:val="18"/>
              </w:rPr>
              <w:t>Step</w:t>
            </w:r>
          </w:p>
        </w:tc>
        <w:tc>
          <w:tcPr>
            <w:tcW w:type="dxa" w:w="2592"/>
            <w:vAlign w:val="center"/>
            <w:shd w:fill="0B1D3A"/>
          </w:tcPr>
          <w:p>
            <w:r/>
            <w:r>
              <w:rPr>
                <w:rFonts w:ascii="Aptos" w:hAnsi="Aptos"/>
                <w:b/>
                <w:color w:val="FFFFFF"/>
                <w:sz w:val="18"/>
              </w:rPr>
              <w:t>Stage</w:t>
            </w:r>
          </w:p>
        </w:tc>
        <w:tc>
          <w:tcPr>
            <w:tcW w:type="dxa" w:w="6912"/>
            <w:vAlign w:val="center"/>
            <w:shd w:fill="0B1D3A"/>
          </w:tcPr>
          <w:p>
            <w:r/>
            <w:r>
              <w:rPr>
                <w:rFonts w:ascii="Aptos" w:hAnsi="Aptos"/>
                <w:b/>
                <w:color w:val="FFFFFF"/>
                <w:sz w:val="18"/>
              </w:rPr>
              <w:t>Rule</w:t>
            </w:r>
          </w:p>
        </w:tc>
      </w:tr>
      <w:tr>
        <w:tc>
          <w:tcPr>
            <w:tcW w:type="dxa" w:w="720"/>
            <w:vAlign w:val="center"/>
          </w:tcPr>
          <w:p>
            <w:r/>
            <w:r>
              <w:rPr>
                <w:rFonts w:ascii="Aptos" w:hAnsi="Aptos"/>
                <w:b w:val="0"/>
                <w:sz w:val="17"/>
              </w:rPr>
              <w:t>1</w:t>
            </w:r>
          </w:p>
        </w:tc>
        <w:tc>
          <w:tcPr>
            <w:tcW w:type="dxa" w:w="2592"/>
            <w:vAlign w:val="center"/>
          </w:tcPr>
          <w:p>
            <w:r/>
            <w:r>
              <w:rPr>
                <w:rFonts w:ascii="Aptos" w:hAnsi="Aptos"/>
                <w:b w:val="0"/>
                <w:sz w:val="17"/>
              </w:rPr>
              <w:t>Validate collection</w:t>
            </w:r>
          </w:p>
        </w:tc>
        <w:tc>
          <w:tcPr>
            <w:tcW w:type="dxa" w:w="6912"/>
            <w:vAlign w:val="center"/>
          </w:tcPr>
          <w:p>
            <w:r/>
            <w:r>
              <w:rPr>
                <w:rFonts w:ascii="Aptos" w:hAnsi="Aptos"/>
                <w:b w:val="0"/>
                <w:sz w:val="17"/>
              </w:rPr>
              <w:t>Reject corrupted or insufficient critical data before sizing.</w:t>
            </w:r>
          </w:p>
        </w:tc>
      </w:tr>
      <w:tr>
        <w:tc>
          <w:tcPr>
            <w:tcW w:type="dxa" w:w="720"/>
            <w:vAlign w:val="center"/>
          </w:tcPr>
          <w:p>
            <w:r/>
            <w:r>
              <w:rPr>
                <w:rFonts w:ascii="Aptos" w:hAnsi="Aptos"/>
                <w:b w:val="0"/>
                <w:sz w:val="17"/>
              </w:rPr>
              <w:t>2</w:t>
            </w:r>
          </w:p>
        </w:tc>
        <w:tc>
          <w:tcPr>
            <w:tcW w:type="dxa" w:w="2592"/>
            <w:vAlign w:val="center"/>
          </w:tcPr>
          <w:p>
            <w:r/>
            <w:r>
              <w:rPr>
                <w:rFonts w:ascii="Aptos" w:hAnsi="Aptos"/>
                <w:b w:val="0"/>
                <w:sz w:val="17"/>
              </w:rPr>
              <w:t>Establish current baseline</w:t>
            </w:r>
          </w:p>
        </w:tc>
        <w:tc>
          <w:tcPr>
            <w:tcW w:type="dxa" w:w="6912"/>
            <w:vAlign w:val="center"/>
          </w:tcPr>
          <w:p>
            <w:r/>
            <w:r>
              <w:rPr>
                <w:rFonts w:ascii="Aptos" w:hAnsi="Aptos"/>
                <w:b w:val="0"/>
                <w:sz w:val="17"/>
              </w:rPr>
              <w:t>Current class, SQL-visible vCPU, memory, storage, edition, deployment, price.</w:t>
            </w:r>
          </w:p>
        </w:tc>
      </w:tr>
      <w:tr>
        <w:tc>
          <w:tcPr>
            <w:tcW w:type="dxa" w:w="720"/>
            <w:vAlign w:val="center"/>
          </w:tcPr>
          <w:p>
            <w:r/>
            <w:r>
              <w:rPr>
                <w:rFonts w:ascii="Aptos" w:hAnsi="Aptos"/>
                <w:b w:val="0"/>
                <w:sz w:val="17"/>
              </w:rPr>
              <w:t>3</w:t>
            </w:r>
          </w:p>
        </w:tc>
        <w:tc>
          <w:tcPr>
            <w:tcW w:type="dxa" w:w="2592"/>
            <w:vAlign w:val="center"/>
          </w:tcPr>
          <w:p>
            <w:r/>
            <w:r>
              <w:rPr>
                <w:rFonts w:ascii="Aptos" w:hAnsi="Aptos"/>
                <w:b w:val="0"/>
                <w:sz w:val="17"/>
              </w:rPr>
              <w:t>Generate cheaper candidates</w:t>
            </w:r>
          </w:p>
        </w:tc>
        <w:tc>
          <w:tcPr>
            <w:tcW w:type="dxa" w:w="6912"/>
            <w:vAlign w:val="center"/>
          </w:tcPr>
          <w:p>
            <w:r/>
            <w:r>
              <w:rPr>
                <w:rFonts w:ascii="Aptos" w:hAnsi="Aptos"/>
                <w:b w:val="0"/>
                <w:sz w:val="17"/>
              </w:rPr>
              <w:t>All supported smaller sizes and applicable alternative families/configurations.</w:t>
            </w:r>
          </w:p>
        </w:tc>
      </w:tr>
      <w:tr>
        <w:tc>
          <w:tcPr>
            <w:tcW w:type="dxa" w:w="720"/>
            <w:vAlign w:val="center"/>
          </w:tcPr>
          <w:p>
            <w:r/>
            <w:r>
              <w:rPr>
                <w:rFonts w:ascii="Aptos" w:hAnsi="Aptos"/>
                <w:b w:val="0"/>
                <w:sz w:val="17"/>
              </w:rPr>
              <w:t>4</w:t>
            </w:r>
          </w:p>
        </w:tc>
        <w:tc>
          <w:tcPr>
            <w:tcW w:type="dxa" w:w="2592"/>
            <w:vAlign w:val="center"/>
          </w:tcPr>
          <w:p>
            <w:r/>
            <w:r>
              <w:rPr>
                <w:rFonts w:ascii="Aptos" w:hAnsi="Aptos"/>
                <w:b w:val="0"/>
                <w:sz w:val="17"/>
              </w:rPr>
              <w:t>CPU projection</w:t>
            </w:r>
          </w:p>
        </w:tc>
        <w:tc>
          <w:tcPr>
            <w:tcW w:type="dxa" w:w="6912"/>
            <w:vAlign w:val="center"/>
          </w:tcPr>
          <w:p>
            <w:r/>
            <w:r>
              <w:rPr>
                <w:rFonts w:ascii="Aptos" w:hAnsi="Aptos"/>
                <w:b w:val="0"/>
                <w:sz w:val="17"/>
              </w:rPr>
              <w:t>Project SQL CPU and concurrent total CPU sample-by-sample for every candidate.</w:t>
            </w:r>
          </w:p>
        </w:tc>
      </w:tr>
      <w:tr>
        <w:tc>
          <w:tcPr>
            <w:tcW w:type="dxa" w:w="720"/>
            <w:vAlign w:val="center"/>
          </w:tcPr>
          <w:p>
            <w:r/>
            <w:r>
              <w:rPr>
                <w:rFonts w:ascii="Aptos" w:hAnsi="Aptos"/>
                <w:b w:val="0"/>
                <w:sz w:val="17"/>
              </w:rPr>
              <w:t>5</w:t>
            </w:r>
          </w:p>
        </w:tc>
        <w:tc>
          <w:tcPr>
            <w:tcW w:type="dxa" w:w="2592"/>
            <w:vAlign w:val="center"/>
          </w:tcPr>
          <w:p>
            <w:r/>
            <w:r>
              <w:rPr>
                <w:rFonts w:ascii="Aptos" w:hAnsi="Aptos"/>
                <w:b w:val="0"/>
                <w:sz w:val="17"/>
              </w:rPr>
              <w:t>Memory validation</w:t>
            </w:r>
          </w:p>
        </w:tc>
        <w:tc>
          <w:tcPr>
            <w:tcW w:type="dxa" w:w="6912"/>
            <w:vAlign w:val="center"/>
          </w:tcPr>
          <w:p>
            <w:r/>
            <w:r>
              <w:rPr>
                <w:rFonts w:ascii="Aptos" w:hAnsi="Aptos"/>
                <w:b w:val="0"/>
                <w:sz w:val="17"/>
              </w:rPr>
              <w:t>Check raw fit; investigate pressure when fit is uncertain or utilization is high.</w:t>
            </w:r>
          </w:p>
        </w:tc>
      </w:tr>
      <w:tr>
        <w:tc>
          <w:tcPr>
            <w:tcW w:type="dxa" w:w="720"/>
            <w:vAlign w:val="center"/>
          </w:tcPr>
          <w:p>
            <w:r/>
            <w:r>
              <w:rPr>
                <w:rFonts w:ascii="Aptos" w:hAnsi="Aptos"/>
                <w:b w:val="0"/>
                <w:sz w:val="17"/>
              </w:rPr>
              <w:t>6</w:t>
            </w:r>
          </w:p>
        </w:tc>
        <w:tc>
          <w:tcPr>
            <w:tcW w:type="dxa" w:w="2592"/>
            <w:vAlign w:val="center"/>
          </w:tcPr>
          <w:p>
            <w:r/>
            <w:r>
              <w:rPr>
                <w:rFonts w:ascii="Aptos" w:hAnsi="Aptos"/>
                <w:b w:val="0"/>
                <w:sz w:val="17"/>
              </w:rPr>
              <w:t>I/O validation</w:t>
            </w:r>
          </w:p>
        </w:tc>
        <w:tc>
          <w:tcPr>
            <w:tcW w:type="dxa" w:w="6912"/>
            <w:vAlign w:val="center"/>
          </w:tcPr>
          <w:p>
            <w:r/>
            <w:r>
              <w:rPr>
                <w:rFonts w:ascii="Aptos" w:hAnsi="Aptos"/>
                <w:b w:val="0"/>
                <w:sz w:val="17"/>
              </w:rPr>
              <w:t>Check IOPS and throughput against effective candidate limits.</w:t>
            </w:r>
          </w:p>
        </w:tc>
      </w:tr>
      <w:tr>
        <w:tc>
          <w:tcPr>
            <w:tcW w:type="dxa" w:w="720"/>
            <w:vAlign w:val="center"/>
          </w:tcPr>
          <w:p>
            <w:r/>
            <w:r>
              <w:rPr>
                <w:rFonts w:ascii="Aptos" w:hAnsi="Aptos"/>
                <w:b w:val="0"/>
                <w:sz w:val="17"/>
              </w:rPr>
              <w:t>7</w:t>
            </w:r>
          </w:p>
        </w:tc>
        <w:tc>
          <w:tcPr>
            <w:tcW w:type="dxa" w:w="2592"/>
            <w:vAlign w:val="center"/>
          </w:tcPr>
          <w:p>
            <w:r/>
            <w:r>
              <w:rPr>
                <w:rFonts w:ascii="Aptos" w:hAnsi="Aptos"/>
                <w:b w:val="0"/>
                <w:sz w:val="17"/>
              </w:rPr>
              <w:t>I/O alternatives</w:t>
            </w:r>
          </w:p>
        </w:tc>
        <w:tc>
          <w:tcPr>
            <w:tcW w:type="dxa" w:w="6912"/>
            <w:vAlign w:val="center"/>
          </w:tcPr>
          <w:p>
            <w:r/>
            <w:r>
              <w:rPr>
                <w:rFonts w:ascii="Aptos" w:hAnsi="Aptos"/>
                <w:b w:val="0"/>
                <w:sz w:val="17"/>
              </w:rPr>
              <w:t>If blocked, test storage tuning and NVMe-capable RDS SQL Server alternatives where applicable.</w:t>
            </w:r>
          </w:p>
        </w:tc>
      </w:tr>
      <w:tr>
        <w:tc>
          <w:tcPr>
            <w:tcW w:type="dxa" w:w="720"/>
            <w:vAlign w:val="center"/>
          </w:tcPr>
          <w:p>
            <w:r/>
            <w:r>
              <w:rPr>
                <w:rFonts w:ascii="Aptos" w:hAnsi="Aptos"/>
                <w:b w:val="0"/>
                <w:sz w:val="17"/>
              </w:rPr>
              <w:t>8</w:t>
            </w:r>
          </w:p>
        </w:tc>
        <w:tc>
          <w:tcPr>
            <w:tcW w:type="dxa" w:w="2592"/>
            <w:vAlign w:val="center"/>
          </w:tcPr>
          <w:p>
            <w:r/>
            <w:r>
              <w:rPr>
                <w:rFonts w:ascii="Aptos" w:hAnsi="Aptos"/>
                <w:b w:val="0"/>
                <w:sz w:val="17"/>
              </w:rPr>
              <w:t>Other platform gates</w:t>
            </w:r>
          </w:p>
        </w:tc>
        <w:tc>
          <w:tcPr>
            <w:tcW w:type="dxa" w:w="6912"/>
            <w:vAlign w:val="center"/>
          </w:tcPr>
          <w:p>
            <w:r/>
            <w:r>
              <w:rPr>
                <w:rFonts w:ascii="Aptos" w:hAnsi="Aptos"/>
                <w:b w:val="0"/>
                <w:sz w:val="17"/>
              </w:rPr>
              <w:t>Network, storage limits, edition/version, HA, feature compatibility.</w:t>
            </w:r>
          </w:p>
        </w:tc>
      </w:tr>
      <w:tr>
        <w:tc>
          <w:tcPr>
            <w:tcW w:type="dxa" w:w="720"/>
            <w:vAlign w:val="center"/>
          </w:tcPr>
          <w:p>
            <w:r/>
            <w:r>
              <w:rPr>
                <w:rFonts w:ascii="Aptos" w:hAnsi="Aptos"/>
                <w:b w:val="0"/>
                <w:sz w:val="17"/>
              </w:rPr>
              <w:t>9</w:t>
            </w:r>
          </w:p>
        </w:tc>
        <w:tc>
          <w:tcPr>
            <w:tcW w:type="dxa" w:w="2592"/>
            <w:vAlign w:val="center"/>
          </w:tcPr>
          <w:p>
            <w:r/>
            <w:r>
              <w:rPr>
                <w:rFonts w:ascii="Aptos" w:hAnsi="Aptos"/>
                <w:b w:val="0"/>
                <w:sz w:val="17"/>
              </w:rPr>
              <w:t>Cost/license calculation</w:t>
            </w:r>
          </w:p>
        </w:tc>
        <w:tc>
          <w:tcPr>
            <w:tcW w:type="dxa" w:w="6912"/>
            <w:vAlign w:val="center"/>
          </w:tcPr>
          <w:p>
            <w:r/>
            <w:r>
              <w:rPr>
                <w:rFonts w:ascii="Aptos" w:hAnsi="Aptos"/>
                <w:b w:val="0"/>
                <w:sz w:val="17"/>
              </w:rPr>
              <w:t>Compute total target cost and SQL Server license impact.</w:t>
            </w:r>
          </w:p>
        </w:tc>
      </w:tr>
      <w:tr>
        <w:tc>
          <w:tcPr>
            <w:tcW w:type="dxa" w:w="720"/>
            <w:vAlign w:val="center"/>
          </w:tcPr>
          <w:p>
            <w:r/>
            <w:r>
              <w:rPr>
                <w:rFonts w:ascii="Aptos" w:hAnsi="Aptos"/>
                <w:b w:val="0"/>
                <w:sz w:val="17"/>
              </w:rPr>
              <w:t>10</w:t>
            </w:r>
          </w:p>
        </w:tc>
        <w:tc>
          <w:tcPr>
            <w:tcW w:type="dxa" w:w="2592"/>
            <w:vAlign w:val="center"/>
          </w:tcPr>
          <w:p>
            <w:r/>
            <w:r>
              <w:rPr>
                <w:rFonts w:ascii="Aptos" w:hAnsi="Aptos"/>
                <w:b w:val="0"/>
                <w:sz w:val="17"/>
              </w:rPr>
              <w:t>Rank survivors</w:t>
            </w:r>
          </w:p>
        </w:tc>
        <w:tc>
          <w:tcPr>
            <w:tcW w:type="dxa" w:w="6912"/>
            <w:vAlign w:val="center"/>
          </w:tcPr>
          <w:p>
            <w:r/>
            <w:r>
              <w:rPr>
                <w:rFonts w:ascii="Aptos" w:hAnsi="Aptos"/>
                <w:b w:val="0"/>
                <w:sz w:val="17"/>
              </w:rPr>
              <w:t>Choose the lowest-cost candidate that passes all hard gates.</w:t>
            </w:r>
          </w:p>
        </w:tc>
      </w:tr>
      <w:tr>
        <w:tc>
          <w:tcPr>
            <w:tcW w:type="dxa" w:w="720"/>
            <w:vAlign w:val="center"/>
          </w:tcPr>
          <w:p>
            <w:r/>
            <w:r>
              <w:rPr>
                <w:rFonts w:ascii="Aptos" w:hAnsi="Aptos"/>
                <w:b w:val="0"/>
                <w:sz w:val="17"/>
              </w:rPr>
              <w:t>11</w:t>
            </w:r>
          </w:p>
        </w:tc>
        <w:tc>
          <w:tcPr>
            <w:tcW w:type="dxa" w:w="2592"/>
            <w:vAlign w:val="center"/>
          </w:tcPr>
          <w:p>
            <w:r/>
            <w:r>
              <w:rPr>
                <w:rFonts w:ascii="Aptos" w:hAnsi="Aptos"/>
                <w:b w:val="0"/>
                <w:sz w:val="17"/>
              </w:rPr>
              <w:t>Independent validation</w:t>
            </w:r>
          </w:p>
        </w:tc>
        <w:tc>
          <w:tcPr>
            <w:tcW w:type="dxa" w:w="6912"/>
            <w:vAlign w:val="center"/>
          </w:tcPr>
          <w:p>
            <w:r/>
            <w:r>
              <w:rPr>
                <w:rFonts w:ascii="Aptos" w:hAnsi="Aptos"/>
                <w:b w:val="0"/>
                <w:sz w:val="17"/>
              </w:rPr>
              <w:t>Run final guardrail engine on the selected recommendation.</w:t>
            </w:r>
          </w:p>
        </w:tc>
      </w:tr>
      <w:tr>
        <w:tc>
          <w:tcPr>
            <w:tcW w:type="dxa" w:w="720"/>
            <w:vAlign w:val="center"/>
          </w:tcPr>
          <w:p>
            <w:r/>
            <w:r>
              <w:rPr>
                <w:rFonts w:ascii="Aptos" w:hAnsi="Aptos"/>
                <w:b w:val="0"/>
                <w:sz w:val="17"/>
              </w:rPr>
              <w:t>12</w:t>
            </w:r>
          </w:p>
        </w:tc>
        <w:tc>
          <w:tcPr>
            <w:tcW w:type="dxa" w:w="2592"/>
            <w:vAlign w:val="center"/>
          </w:tcPr>
          <w:p>
            <w:r/>
            <w:r>
              <w:rPr>
                <w:rFonts w:ascii="Aptos" w:hAnsi="Aptos"/>
                <w:b w:val="0"/>
                <w:sz w:val="17"/>
              </w:rPr>
              <w:t>Release verdict</w:t>
            </w:r>
          </w:p>
        </w:tc>
        <w:tc>
          <w:tcPr>
            <w:tcW w:type="dxa" w:w="6912"/>
            <w:vAlign w:val="center"/>
          </w:tcPr>
          <w:p>
            <w:r/>
            <w:r>
              <w:rPr>
                <w:rFonts w:ascii="Aptos" w:hAnsi="Aptos"/>
                <w:b w:val="0"/>
                <w:sz w:val="17"/>
              </w:rPr>
              <w:t>PASS, WARN / validation required, or BLOCK / no safe change.</w:t>
            </w:r>
          </w:p>
        </w:tc>
      </w:tr>
    </w:tbl>
    <w:p/>
    <w:p>
      <w:pPr>
        <w:pStyle w:val="Heading1"/>
      </w:pPr>
      <w:r>
        <w:t>3. CPU-Led Candidate Search</w:t>
      </w:r>
    </w:p>
    <w:p>
      <w:r>
        <w:t>CPU drives how far Chodo searches downward because SQL Server licensing and instance cost are strongly tied to vCPU. The engine must evaluate more than one size down when CPU headroom allows it.</w:t>
      </w:r>
    </w:p>
    <w:p>
      <w:pPr>
        <w:pStyle w:val="Heading2"/>
      </w:pPr>
      <w:r>
        <w:t>3.1 Projection method</w:t>
      </w:r>
    </w:p>
    <w:p>
      <w:r>
        <w:t>Use SQLProcessUtilization (or the authoritative SQL-process CPU signal available from the collector) as the primary sizing signal. For each candidate, project SQL CPU per sample using current SQL-visible vCPU and candidate SQL-visible vCPU. Calculate P95 and P99 only after the sample-level projection.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B1D3A"/>
          </w:tcPr>
          <w:p>
            <w:r/>
            <w:r>
              <w:rPr>
                <w:rFonts w:ascii="Aptos" w:hAnsi="Aptos"/>
                <w:b/>
                <w:color w:val="FFFFFF"/>
                <w:sz w:val="18"/>
              </w:rPr>
              <w:t>CPU rule</w:t>
            </w:r>
          </w:p>
        </w:tc>
        <w:tc>
          <w:tcPr>
            <w:tcW w:type="dxa" w:w="2880"/>
            <w:vAlign w:val="center"/>
            <w:shd w:fill="0B1D3A"/>
          </w:tcPr>
          <w:p>
            <w:r/>
            <w:r>
              <w:rPr>
                <w:rFonts w:ascii="Aptos" w:hAnsi="Aptos"/>
                <w:b/>
                <w:color w:val="FFFFFF"/>
                <w:sz w:val="18"/>
              </w:rPr>
              <w:t>Threshold / behavior</w:t>
            </w:r>
          </w:p>
        </w:tc>
        <w:tc>
          <w:tcPr>
            <w:tcW w:type="dxa" w:w="4752"/>
            <w:vAlign w:val="center"/>
            <w:shd w:fill="0B1D3A"/>
          </w:tcPr>
          <w:p>
            <w:r/>
            <w:r>
              <w:rPr>
                <w:rFonts w:ascii="Aptos" w:hAnsi="Aptos"/>
                <w:b/>
                <w:color w:val="FFFFFF"/>
                <w:sz w:val="18"/>
              </w:rPr>
              <w:t>Effect</w:t>
            </w:r>
          </w:p>
        </w:tc>
      </w:tr>
      <w:tr>
        <w:tc>
          <w:tcPr>
            <w:tcW w:type="dxa" w:w="2880"/>
            <w:vAlign w:val="center"/>
          </w:tcPr>
          <w:p>
            <w:r/>
            <w:r>
              <w:rPr>
                <w:rFonts w:ascii="Aptos" w:hAnsi="Aptos"/>
                <w:b w:val="0"/>
                <w:sz w:val="17"/>
              </w:rPr>
              <w:t>Projected SQL CPU P95</w:t>
            </w:r>
          </w:p>
        </w:tc>
        <w:tc>
          <w:tcPr>
            <w:tcW w:type="dxa" w:w="2880"/>
            <w:vAlign w:val="center"/>
          </w:tcPr>
          <w:p>
            <w:r/>
            <w:r>
              <w:rPr>
                <w:rFonts w:ascii="Aptos" w:hAnsi="Aptos"/>
                <w:b w:val="0"/>
                <w:sz w:val="17"/>
              </w:rPr>
              <w:t>Target &lt;= 70%</w:t>
            </w:r>
          </w:p>
        </w:tc>
        <w:tc>
          <w:tcPr>
            <w:tcW w:type="dxa" w:w="4752"/>
            <w:vAlign w:val="center"/>
          </w:tcPr>
          <w:p>
            <w:r/>
            <w:r>
              <w:rPr>
                <w:rFonts w:ascii="Aptos" w:hAnsi="Aptos"/>
                <w:b w:val="0"/>
                <w:sz w:val="17"/>
              </w:rPr>
              <w:t>Primary sizing target.</w:t>
            </w:r>
          </w:p>
        </w:tc>
      </w:tr>
      <w:tr>
        <w:tc>
          <w:tcPr>
            <w:tcW w:type="dxa" w:w="2880"/>
            <w:vAlign w:val="center"/>
          </w:tcPr>
          <w:p>
            <w:r/>
            <w:r>
              <w:rPr>
                <w:rFonts w:ascii="Aptos" w:hAnsi="Aptos"/>
                <w:b w:val="0"/>
                <w:sz w:val="17"/>
              </w:rPr>
              <w:t>Projected SQL CPU P99</w:t>
            </w:r>
          </w:p>
        </w:tc>
        <w:tc>
          <w:tcPr>
            <w:tcW w:type="dxa" w:w="2880"/>
            <w:vAlign w:val="center"/>
          </w:tcPr>
          <w:p>
            <w:r/>
            <w:r>
              <w:rPr>
                <w:rFonts w:ascii="Aptos" w:hAnsi="Aptos"/>
                <w:b w:val="0"/>
                <w:sz w:val="17"/>
              </w:rPr>
              <w:t>&lt;= 90%</w:t>
            </w:r>
          </w:p>
        </w:tc>
        <w:tc>
          <w:tcPr>
            <w:tcW w:type="dxa" w:w="4752"/>
            <w:vAlign w:val="center"/>
          </w:tcPr>
          <w:p>
            <w:r/>
            <w:r>
              <w:rPr>
                <w:rFonts w:ascii="Aptos" w:hAnsi="Aptos"/>
                <w:b w:val="0"/>
                <w:sz w:val="17"/>
              </w:rPr>
              <w:t>Burst safety ceiling; above this rejects or blocks candidate.</w:t>
            </w:r>
          </w:p>
        </w:tc>
      </w:tr>
      <w:tr>
        <w:tc>
          <w:tcPr>
            <w:tcW w:type="dxa" w:w="2880"/>
            <w:vAlign w:val="center"/>
          </w:tcPr>
          <w:p>
            <w:r/>
            <w:r>
              <w:rPr>
                <w:rFonts w:ascii="Aptos" w:hAnsi="Aptos"/>
                <w:b w:val="0"/>
                <w:sz w:val="17"/>
              </w:rPr>
              <w:t>Concurrent total CPU</w:t>
            </w:r>
          </w:p>
        </w:tc>
        <w:tc>
          <w:tcPr>
            <w:tcW w:type="dxa" w:w="2880"/>
            <w:vAlign w:val="center"/>
          </w:tcPr>
          <w:p>
            <w:r/>
            <w:r>
              <w:rPr>
                <w:rFonts w:ascii="Aptos" w:hAnsi="Aptos"/>
                <w:b w:val="0"/>
                <w:sz w:val="17"/>
              </w:rPr>
              <w:t>&lt;= 90%</w:t>
            </w:r>
          </w:p>
        </w:tc>
        <w:tc>
          <w:tcPr>
            <w:tcW w:type="dxa" w:w="4752"/>
            <w:vAlign w:val="center"/>
          </w:tcPr>
          <w:p>
            <w:r/>
            <w:r>
              <w:rPr>
                <w:rFonts w:ascii="Aptos" w:hAnsi="Aptos"/>
                <w:b w:val="0"/>
                <w:sz w:val="17"/>
              </w:rPr>
              <w:t>Hard host/other-process safety gate.</w:t>
            </w:r>
          </w:p>
        </w:tc>
      </w:tr>
      <w:tr>
        <w:tc>
          <w:tcPr>
            <w:tcW w:type="dxa" w:w="2880"/>
            <w:vAlign w:val="center"/>
          </w:tcPr>
          <w:p>
            <w:r/>
            <w:r>
              <w:rPr>
                <w:rFonts w:ascii="Aptos" w:hAnsi="Aptos"/>
                <w:b w:val="0"/>
                <w:sz w:val="17"/>
              </w:rPr>
              <w:t>P99 role</w:t>
            </w:r>
          </w:p>
        </w:tc>
        <w:tc>
          <w:tcPr>
            <w:tcW w:type="dxa" w:w="2880"/>
            <w:vAlign w:val="center"/>
          </w:tcPr>
          <w:p>
            <w:r/>
            <w:r>
              <w:rPr>
                <w:rFonts w:ascii="Aptos" w:hAnsi="Aptos"/>
                <w:b w:val="0"/>
                <w:sz w:val="17"/>
              </w:rPr>
              <w:t>Safety, not primary sizing</w:t>
            </w:r>
          </w:p>
        </w:tc>
        <w:tc>
          <w:tcPr>
            <w:tcW w:type="dxa" w:w="4752"/>
            <w:vAlign w:val="center"/>
          </w:tcPr>
          <w:p>
            <w:r/>
            <w:r>
              <w:rPr>
                <w:rFonts w:ascii="Aptos" w:hAnsi="Aptos"/>
                <w:b w:val="0"/>
                <w:sz w:val="17"/>
              </w:rPr>
              <w:t>Prevents burst saturation from being hidden by P95.</w:t>
            </w:r>
          </w:p>
        </w:tc>
      </w:tr>
      <w:tr>
        <w:tc>
          <w:tcPr>
            <w:tcW w:type="dxa" w:w="2880"/>
            <w:vAlign w:val="center"/>
          </w:tcPr>
          <w:p>
            <w:r/>
            <w:r>
              <w:rPr>
                <w:rFonts w:ascii="Aptos" w:hAnsi="Aptos"/>
                <w:b w:val="0"/>
                <w:sz w:val="17"/>
              </w:rPr>
              <w:t>Cross-family CPU</w:t>
            </w:r>
          </w:p>
        </w:tc>
        <w:tc>
          <w:tcPr>
            <w:tcW w:type="dxa" w:w="2880"/>
            <w:vAlign w:val="center"/>
          </w:tcPr>
          <w:p>
            <w:r/>
            <w:r>
              <w:rPr>
                <w:rFonts w:ascii="Aptos" w:hAnsi="Aptos"/>
                <w:b w:val="0"/>
                <w:sz w:val="17"/>
              </w:rPr>
              <w:t>Use authoritative normalization when available</w:t>
            </w:r>
          </w:p>
        </w:tc>
        <w:tc>
          <w:tcPr>
            <w:tcW w:type="dxa" w:w="4752"/>
            <w:vAlign w:val="center"/>
          </w:tcPr>
          <w:p>
            <w:r/>
            <w:r>
              <w:rPr>
                <w:rFonts w:ascii="Aptos" w:hAnsi="Aptos"/>
                <w:b w:val="0"/>
                <w:sz w:val="17"/>
              </w:rPr>
              <w:t>Otherwise downgrade confidence.</w:t>
            </w:r>
          </w:p>
        </w:tc>
      </w:tr>
    </w:tbl>
    <w:p/>
    <w:p>
      <w:pPr>
        <w:pStyle w:val="Heading2"/>
      </w:pPr>
      <w:r>
        <w:t>3.2 Concurrent total CPU</w:t>
      </w:r>
    </w:p>
    <w:p>
      <w:r>
        <w:t>Do not add independent percentiles. For every historical sample, project SQL CPU to the candidate and combine it with OtherProcessUtilization/host CPU from the same timestamp. Then compute the percentile of the resulting concurrent total-CPU series.</w:t>
      </w:r>
    </w:p>
    <w:p>
      <w:pPr>
        <w:pStyle w:val="Heading1"/>
      </w:pPr>
      <w:r>
        <w:t>4. Multi-Size Candidate Evaluation</w:t>
      </w:r>
    </w:p>
    <w:p>
      <w:r>
        <w:t>Chodo must not stop after finding that the next size down is safe. It continues to evaluate progressively cheaper valid candidates until safety gates eliminate them.</w:t>
      </w:r>
    </w:p>
    <w:p>
      <w:pPr>
        <w:pStyle w:val="Callout"/>
      </w:pPr>
      <w:r>
        <w:t>Do not recommend 'one size down.' Recommend the cheapest candidate that survives the complete rule set.</w:t>
      </w:r>
    </w:p>
    <w:p>
      <w:r>
        <w:t>A candidate may fail CPU immediately, or it may pass CPU and fail memory, I/O, throughput, network, licensing, or platform compatibility. The first failure does not automatically end the entire search if a different family or configuration can provide a cheaper safe path.</w:t>
      </w:r>
    </w:p>
    <w:p>
      <w:pPr>
        <w:pStyle w:val="Heading1"/>
      </w:pPr>
      <w:r>
        <w:t>5. Memory Rule</w:t>
      </w:r>
    </w:p>
    <w:p>
      <w:r>
        <w:t>Memory is evaluated per candidate. High SQL Server memory utilization is not automatically proof that the workload requires all currently allocated RAM because SQL Server commonly fills available memory for cache.</w:t>
      </w:r>
    </w:p>
    <w:p>
      <w:pPr>
        <w:pStyle w:val="Heading2"/>
      </w:pPr>
      <w:r>
        <w:t>5.1 First pass: does memory fit?</w:t>
      </w:r>
    </w:p>
    <w:p>
      <w:pPr>
        <w:pStyle w:val="ListBullet"/>
      </w:pPr>
      <w:r>
        <w:t>Estimate observed/active memory demand using collected OS/RDS and SQL Server memory evidence.</w:t>
      </w:r>
    </w:p>
    <w:p>
      <w:pPr>
        <w:pStyle w:val="ListBullet"/>
      </w:pPr>
      <w:r>
        <w:t>Compare that demand with candidate RAM after reserving appropriate operating and engine headroom.</w:t>
      </w:r>
    </w:p>
    <w:p>
      <w:pPr>
        <w:pStyle w:val="ListBullet"/>
      </w:pPr>
      <w:r>
        <w:t>If the candidate clearly fits, continue to memory-pressure validation.</w:t>
      </w:r>
    </w:p>
    <w:p>
      <w:pPr>
        <w:pStyle w:val="ListBullet"/>
      </w:pPr>
      <w:r>
        <w:t>If the candidate clearly cannot fit, investigate whether the apparent demand is cache allocation rather than true working-set requirement.</w:t>
      </w:r>
    </w:p>
    <w:p>
      <w:pPr>
        <w:pStyle w:val="Heading2"/>
      </w:pPr>
      <w:r>
        <w:t>5.2 Trigger deeper investigation when</w:t>
      </w:r>
    </w:p>
    <w:p>
      <w:pPr>
        <w:pStyle w:val="ListBullet"/>
      </w:pPr>
      <w:r>
        <w:t>Memory utilization is near 100%.</w:t>
      </w:r>
    </w:p>
    <w:p>
      <w:pPr>
        <w:pStyle w:val="ListBullet"/>
      </w:pPr>
      <w:r>
        <w:t>The target candidate has materially less RAM than the current instance.</w:t>
      </w:r>
    </w:p>
    <w:p>
      <w:pPr>
        <w:pStyle w:val="ListBullet"/>
      </w:pPr>
      <w:r>
        <w:t>Raw observed memory demand is close to or above candidate RAM.</w:t>
      </w:r>
    </w:p>
    <w:p>
      <w:pPr>
        <w:pStyle w:val="ListBullet"/>
      </w:pPr>
      <w:r>
        <w:t>Signals disagree or key memory evidence is incomplete.</w:t>
      </w:r>
    </w:p>
    <w:p>
      <w:pPr>
        <w:pStyle w:val="Heading2"/>
      </w:pPr>
      <w:r>
        <w:t>5.3 Memory-pressure evidence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B1D3A"/>
          </w:tcPr>
          <w:p>
            <w:r/>
            <w:r>
              <w:rPr>
                <w:rFonts w:ascii="Aptos" w:hAnsi="Aptos"/>
                <w:b/>
                <w:color w:val="FFFFFF"/>
                <w:sz w:val="18"/>
              </w:rPr>
              <w:t>Signal</w:t>
            </w:r>
          </w:p>
        </w:tc>
        <w:tc>
          <w:tcPr>
            <w:tcW w:type="dxa" w:w="2880"/>
            <w:vAlign w:val="center"/>
            <w:shd w:fill="0B1D3A"/>
          </w:tcPr>
          <w:p>
            <w:r/>
            <w:r>
              <w:rPr>
                <w:rFonts w:ascii="Aptos" w:hAnsi="Aptos"/>
                <w:b/>
                <w:color w:val="FFFFFF"/>
                <w:sz w:val="18"/>
              </w:rPr>
              <w:t>Use</w:t>
            </w:r>
          </w:p>
        </w:tc>
        <w:tc>
          <w:tcPr>
            <w:tcW w:type="dxa" w:w="4752"/>
            <w:vAlign w:val="center"/>
            <w:shd w:fill="0B1D3A"/>
          </w:tcPr>
          <w:p>
            <w:r/>
            <w:r>
              <w:rPr>
                <w:rFonts w:ascii="Aptos" w:hAnsi="Aptos"/>
                <w:b/>
                <w:color w:val="FFFFFF"/>
                <w:sz w:val="18"/>
              </w:rPr>
              <w:t>Interpretation</w:t>
            </w:r>
          </w:p>
        </w:tc>
      </w:tr>
      <w:tr>
        <w:tc>
          <w:tcPr>
            <w:tcW w:type="dxa" w:w="2880"/>
            <w:vAlign w:val="center"/>
          </w:tcPr>
          <w:p>
            <w:r/>
            <w:r>
              <w:rPr>
                <w:rFonts w:ascii="Aptos" w:hAnsi="Aptos"/>
                <w:b w:val="0"/>
                <w:sz w:val="17"/>
              </w:rPr>
              <w:t>Lazy Writes</w:t>
            </w:r>
          </w:p>
        </w:tc>
        <w:tc>
          <w:tcPr>
            <w:tcW w:type="dxa" w:w="2880"/>
            <w:vAlign w:val="center"/>
          </w:tcPr>
          <w:p>
            <w:r/>
            <w:r>
              <w:rPr>
                <w:rFonts w:ascii="Aptos" w:hAnsi="Aptos"/>
                <w:b w:val="0"/>
                <w:sz w:val="17"/>
              </w:rPr>
              <w:t>Pressure evidence</w:t>
            </w:r>
          </w:p>
        </w:tc>
        <w:tc>
          <w:tcPr>
            <w:tcW w:type="dxa" w:w="4752"/>
            <w:vAlign w:val="center"/>
          </w:tcPr>
          <w:p>
            <w:r/>
            <w:r>
              <w:rPr>
                <w:rFonts w:ascii="Aptos" w:hAnsi="Aptos"/>
                <w:b w:val="0"/>
                <w:sz w:val="17"/>
              </w:rPr>
              <w:t>Sustained activity argues against aggressive RAM reduction.</w:t>
            </w:r>
          </w:p>
        </w:tc>
      </w:tr>
      <w:tr>
        <w:tc>
          <w:tcPr>
            <w:tcW w:type="dxa" w:w="2880"/>
            <w:vAlign w:val="center"/>
          </w:tcPr>
          <w:p>
            <w:r/>
            <w:r>
              <w:rPr>
                <w:rFonts w:ascii="Aptos" w:hAnsi="Aptos"/>
                <w:b w:val="0"/>
                <w:sz w:val="17"/>
              </w:rPr>
              <w:t>Page Reads / Writes</w:t>
            </w:r>
          </w:p>
        </w:tc>
        <w:tc>
          <w:tcPr>
            <w:tcW w:type="dxa" w:w="2880"/>
            <w:vAlign w:val="center"/>
          </w:tcPr>
          <w:p>
            <w:r/>
            <w:r>
              <w:rPr>
                <w:rFonts w:ascii="Aptos" w:hAnsi="Aptos"/>
                <w:b w:val="0"/>
                <w:sz w:val="17"/>
              </w:rPr>
              <w:t>Trend evidence</w:t>
            </w:r>
          </w:p>
        </w:tc>
        <w:tc>
          <w:tcPr>
            <w:tcW w:type="dxa" w:w="4752"/>
            <w:vAlign w:val="center"/>
          </w:tcPr>
          <w:p>
            <w:r/>
            <w:r>
              <w:rPr>
                <w:rFonts w:ascii="Aptos" w:hAnsi="Aptos"/>
                <w:b w:val="0"/>
                <w:sz w:val="17"/>
              </w:rPr>
              <w:t>Rising reads under pressure may indicate cache loss.</w:t>
            </w:r>
          </w:p>
        </w:tc>
      </w:tr>
      <w:tr>
        <w:tc>
          <w:tcPr>
            <w:tcW w:type="dxa" w:w="2880"/>
            <w:vAlign w:val="center"/>
          </w:tcPr>
          <w:p>
            <w:r/>
            <w:r>
              <w:rPr>
                <w:rFonts w:ascii="Aptos" w:hAnsi="Aptos"/>
                <w:b w:val="0"/>
                <w:sz w:val="17"/>
              </w:rPr>
              <w:t>ReadIOPS coupling</w:t>
            </w:r>
          </w:p>
        </w:tc>
        <w:tc>
          <w:tcPr>
            <w:tcW w:type="dxa" w:w="2880"/>
            <w:vAlign w:val="center"/>
          </w:tcPr>
          <w:p>
            <w:r/>
            <w:r>
              <w:rPr>
                <w:rFonts w:ascii="Aptos" w:hAnsi="Aptos"/>
                <w:b w:val="0"/>
                <w:sz w:val="17"/>
              </w:rPr>
              <w:t>Supporting pressure evidence</w:t>
            </w:r>
          </w:p>
        </w:tc>
        <w:tc>
          <w:tcPr>
            <w:tcW w:type="dxa" w:w="4752"/>
            <w:vAlign w:val="center"/>
          </w:tcPr>
          <w:p>
            <w:r/>
            <w:r>
              <w:rPr>
                <w:rFonts w:ascii="Aptos" w:hAnsi="Aptos"/>
                <w:b w:val="0"/>
                <w:sz w:val="17"/>
              </w:rPr>
              <w:t>Use magnitude + correlation, not any positive correlation.</w:t>
            </w:r>
          </w:p>
        </w:tc>
      </w:tr>
      <w:tr>
        <w:tc>
          <w:tcPr>
            <w:tcW w:type="dxa" w:w="2880"/>
            <w:vAlign w:val="center"/>
          </w:tcPr>
          <w:p>
            <w:r/>
            <w:r>
              <w:rPr>
                <w:rFonts w:ascii="Aptos" w:hAnsi="Aptos"/>
                <w:b w:val="0"/>
                <w:sz w:val="17"/>
              </w:rPr>
              <w:t>Memory grants / pending grants</w:t>
            </w:r>
          </w:p>
        </w:tc>
        <w:tc>
          <w:tcPr>
            <w:tcW w:type="dxa" w:w="2880"/>
            <w:vAlign w:val="center"/>
          </w:tcPr>
          <w:p>
            <w:r/>
            <w:r>
              <w:rPr>
                <w:rFonts w:ascii="Aptos" w:hAnsi="Aptos"/>
                <w:b w:val="0"/>
                <w:sz w:val="17"/>
              </w:rPr>
              <w:t>Harder pressure evidence</w:t>
            </w:r>
          </w:p>
        </w:tc>
        <w:tc>
          <w:tcPr>
            <w:tcW w:type="dxa" w:w="4752"/>
            <w:vAlign w:val="center"/>
          </w:tcPr>
          <w:p>
            <w:r/>
            <w:r>
              <w:rPr>
                <w:rFonts w:ascii="Aptos" w:hAnsi="Aptos"/>
                <w:b w:val="0"/>
                <w:sz w:val="17"/>
              </w:rPr>
              <w:t>Pending grants / RESOURCE_SEMAPHORE raise risk.</w:t>
            </w:r>
          </w:p>
        </w:tc>
      </w:tr>
      <w:tr>
        <w:tc>
          <w:tcPr>
            <w:tcW w:type="dxa" w:w="2880"/>
            <w:vAlign w:val="center"/>
          </w:tcPr>
          <w:p>
            <w:r/>
            <w:r>
              <w:rPr>
                <w:rFonts w:ascii="Aptos" w:hAnsi="Aptos"/>
                <w:b w:val="0"/>
                <w:sz w:val="17"/>
              </w:rPr>
              <w:t>RESOURCE_SEMAPHORE waits</w:t>
            </w:r>
          </w:p>
        </w:tc>
        <w:tc>
          <w:tcPr>
            <w:tcW w:type="dxa" w:w="2880"/>
            <w:vAlign w:val="center"/>
          </w:tcPr>
          <w:p>
            <w:r/>
            <w:r>
              <w:rPr>
                <w:rFonts w:ascii="Aptos" w:hAnsi="Aptos"/>
                <w:b w:val="0"/>
                <w:sz w:val="17"/>
              </w:rPr>
              <w:t>Pressure evidence</w:t>
            </w:r>
          </w:p>
        </w:tc>
        <w:tc>
          <w:tcPr>
            <w:tcW w:type="dxa" w:w="4752"/>
            <w:vAlign w:val="center"/>
          </w:tcPr>
          <w:p>
            <w:r/>
            <w:r>
              <w:rPr>
                <w:rFonts w:ascii="Aptos" w:hAnsi="Aptos"/>
                <w:b w:val="0"/>
                <w:sz w:val="17"/>
              </w:rPr>
              <w:t>Sustained presence strongly argues against RAM reduction.</w:t>
            </w:r>
          </w:p>
        </w:tc>
      </w:tr>
      <w:tr>
        <w:tc>
          <w:tcPr>
            <w:tcW w:type="dxa" w:w="2880"/>
            <w:vAlign w:val="center"/>
          </w:tcPr>
          <w:p>
            <w:r/>
            <w:r>
              <w:rPr>
                <w:rFonts w:ascii="Aptos" w:hAnsi="Aptos"/>
                <w:b w:val="0"/>
                <w:sz w:val="17"/>
              </w:rPr>
              <w:t>PLE trend</w:t>
            </w:r>
          </w:p>
        </w:tc>
        <w:tc>
          <w:tcPr>
            <w:tcW w:type="dxa" w:w="2880"/>
            <w:vAlign w:val="center"/>
          </w:tcPr>
          <w:p>
            <w:r/>
            <w:r>
              <w:rPr>
                <w:rFonts w:ascii="Aptos" w:hAnsi="Aptos"/>
                <w:b w:val="0"/>
                <w:sz w:val="17"/>
              </w:rPr>
              <w:t>Supporting only</w:t>
            </w:r>
          </w:p>
        </w:tc>
        <w:tc>
          <w:tcPr>
            <w:tcW w:type="dxa" w:w="4752"/>
            <w:vAlign w:val="center"/>
          </w:tcPr>
          <w:p>
            <w:r/>
            <w:r>
              <w:rPr>
                <w:rFonts w:ascii="Aptos" w:hAnsi="Aptos"/>
                <w:b w:val="0"/>
                <w:sz w:val="17"/>
              </w:rPr>
              <w:t>Use trend/context; avoid one universal hard PLE threshold.</w:t>
            </w:r>
          </w:p>
        </w:tc>
      </w:tr>
      <w:tr>
        <w:tc>
          <w:tcPr>
            <w:tcW w:type="dxa" w:w="2880"/>
            <w:vAlign w:val="center"/>
          </w:tcPr>
          <w:p>
            <w:r/>
            <w:r>
              <w:rPr>
                <w:rFonts w:ascii="Aptos" w:hAnsi="Aptos"/>
                <w:b w:val="0"/>
                <w:sz w:val="17"/>
              </w:rPr>
              <w:t>Target vs Total Server Memory</w:t>
            </w:r>
          </w:p>
        </w:tc>
        <w:tc>
          <w:tcPr>
            <w:tcW w:type="dxa" w:w="2880"/>
            <w:vAlign w:val="center"/>
          </w:tcPr>
          <w:p>
            <w:r/>
            <w:r>
              <w:rPr>
                <w:rFonts w:ascii="Aptos" w:hAnsi="Aptos"/>
                <w:b w:val="0"/>
                <w:sz w:val="17"/>
              </w:rPr>
              <w:t>Allocation context</w:t>
            </w:r>
          </w:p>
        </w:tc>
        <w:tc>
          <w:tcPr>
            <w:tcW w:type="dxa" w:w="4752"/>
            <w:vAlign w:val="center"/>
          </w:tcPr>
          <w:p>
            <w:r/>
            <w:r>
              <w:rPr>
                <w:rFonts w:ascii="Aptos" w:hAnsi="Aptos"/>
                <w:b w:val="0"/>
                <w:sz w:val="17"/>
              </w:rPr>
              <w:t>Shows whether SQL Server is at configured target, not by itself whether target is required.</w:t>
            </w:r>
          </w:p>
        </w:tc>
      </w:tr>
      <w:tr>
        <w:tc>
          <w:tcPr>
            <w:tcW w:type="dxa" w:w="2880"/>
            <w:vAlign w:val="center"/>
          </w:tcPr>
          <w:p>
            <w:r/>
            <w:r>
              <w:rPr>
                <w:rFonts w:ascii="Aptos" w:hAnsi="Aptos"/>
                <w:b w:val="0"/>
                <w:sz w:val="17"/>
              </w:rPr>
              <w:t>Buffer Cache Hit Ratio</w:t>
            </w:r>
          </w:p>
        </w:tc>
        <w:tc>
          <w:tcPr>
            <w:tcW w:type="dxa" w:w="2880"/>
            <w:vAlign w:val="center"/>
          </w:tcPr>
          <w:p>
            <w:r/>
            <w:r>
              <w:rPr>
                <w:rFonts w:ascii="Aptos" w:hAnsi="Aptos"/>
                <w:b w:val="0"/>
                <w:sz w:val="17"/>
              </w:rPr>
              <w:t>Supporting only</w:t>
            </w:r>
          </w:p>
        </w:tc>
        <w:tc>
          <w:tcPr>
            <w:tcW w:type="dxa" w:w="4752"/>
            <w:vAlign w:val="center"/>
          </w:tcPr>
          <w:p>
            <w:r/>
            <w:r>
              <w:rPr>
                <w:rFonts w:ascii="Aptos" w:hAnsi="Aptos"/>
                <w:b w:val="0"/>
                <w:sz w:val="17"/>
              </w:rPr>
              <w:t>Never use alone as a hard pass/fail threshold.</w:t>
            </w:r>
          </w:p>
        </w:tc>
      </w:tr>
    </w:tbl>
    <w:p/>
    <w:p>
      <w:pPr>
        <w:pStyle w:val="Heading2"/>
      </w:pPr>
      <w:r>
        <w:t>5.4 ReadIOPS coupling rule</w:t>
      </w:r>
    </w:p>
    <w:p>
      <w:r>
        <w:t>Treat ReadIOPS as materially rising with memory pressure only when the relationship is both statistically meaningful and operationally material:</w:t>
      </w:r>
    </w:p>
    <w:p>
      <w:pPr>
        <w:pStyle w:val="ListBullet"/>
      </w:pPr>
      <w:r>
        <w:t>Spearman correlation between memory-pressure score and normalized ReadIOPS &gt;= 0.40; AND</w:t>
      </w:r>
    </w:p>
    <w:p>
      <w:pPr>
        <w:pStyle w:val="ListBullet"/>
      </w:pPr>
      <w:r>
        <w:t>Median ReadIOPS in high-pressure periods &gt;= 20% above low-pressure periods; AND</w:t>
      </w:r>
    </w:p>
    <w:p>
      <w:pPr>
        <w:pStyle w:val="ListBullet"/>
      </w:pPr>
      <w:r>
        <w:t>The pattern persists across at least 10% of valid samples or 3 distinct pressure periods.</w:t>
      </w:r>
    </w:p>
    <w:p>
      <w:r>
        <w:t>A &gt;=40% increase is a strong pressure signal. If workload-rate metrics are available, normalize ReadIOPS to workload to avoid mistaking naturally busier periods for memory pressure.</w:t>
      </w:r>
    </w:p>
    <w:p>
      <w:pPr>
        <w:pStyle w:val="Heading2"/>
      </w:pPr>
      <w:r>
        <w:t>5.5 Memory verdict</w:t>
      </w:r>
    </w:p>
    <w:tbl>
      <w:tblPr>
        <w:tblStyle w:val="TableGrid"/>
        <w:tblW w:type="auto" w:w="0"/>
        <w:jc w:val="center"/>
        <w:tblLook w:firstColumn="1" w:firstRow="1" w:lastColumn="0" w:lastRow="0" w:noHBand="0" w:noVBand="1" w:val="04A0"/>
      </w:tblPr>
      <w:tblGrid>
        <w:gridCol w:w="5112"/>
        <w:gridCol w:w="5112"/>
      </w:tblGrid>
      <w:tr>
        <w:tc>
          <w:tcPr>
            <w:tcW w:type="dxa" w:w="6912"/>
            <w:vAlign w:val="center"/>
            <w:shd w:fill="0B1D3A"/>
          </w:tcPr>
          <w:p>
            <w:r/>
            <w:r>
              <w:rPr>
                <w:rFonts w:ascii="Aptos" w:hAnsi="Aptos"/>
                <w:b/>
                <w:color w:val="FFFFFF"/>
                <w:sz w:val="18"/>
              </w:rPr>
              <w:t>Condition</w:t>
            </w:r>
          </w:p>
        </w:tc>
        <w:tc>
          <w:tcPr>
            <w:tcW w:type="dxa" w:w="3600"/>
            <w:vAlign w:val="center"/>
            <w:shd w:fill="0B1D3A"/>
          </w:tcPr>
          <w:p>
            <w:r/>
            <w:r>
              <w:rPr>
                <w:rFonts w:ascii="Aptos" w:hAnsi="Aptos"/>
                <w:b/>
                <w:color w:val="FFFFFF"/>
                <w:sz w:val="18"/>
              </w:rPr>
              <w:t>Verdict</w:t>
            </w:r>
          </w:p>
        </w:tc>
      </w:tr>
      <w:tr>
        <w:tc>
          <w:tcPr>
            <w:tcW w:type="dxa" w:w="6912"/>
            <w:vAlign w:val="center"/>
          </w:tcPr>
          <w:p>
            <w:r/>
            <w:r>
              <w:rPr>
                <w:rFonts w:ascii="Aptos" w:hAnsi="Aptos"/>
                <w:b w:val="0"/>
                <w:sz w:val="17"/>
              </w:rPr>
              <w:t>Candidate RAM clearly fits; pressure signals clean</w:t>
            </w:r>
          </w:p>
        </w:tc>
        <w:tc>
          <w:tcPr>
            <w:tcW w:type="dxa" w:w="3600"/>
            <w:vAlign w:val="center"/>
          </w:tcPr>
          <w:p>
            <w:r/>
            <w:r>
              <w:rPr>
                <w:rFonts w:ascii="Aptos" w:hAnsi="Aptos"/>
                <w:b w:val="0"/>
                <w:sz w:val="17"/>
              </w:rPr>
              <w:t>PASS</w:t>
            </w:r>
          </w:p>
        </w:tc>
      </w:tr>
      <w:tr>
        <w:tc>
          <w:tcPr>
            <w:tcW w:type="dxa" w:w="6912"/>
            <w:vAlign w:val="center"/>
          </w:tcPr>
          <w:p>
            <w:r/>
            <w:r>
              <w:rPr>
                <w:rFonts w:ascii="Aptos" w:hAnsi="Aptos"/>
                <w:b w:val="0"/>
                <w:sz w:val="17"/>
              </w:rPr>
              <w:t>Raw fit is tight but investigation demonstrates stable working set</w:t>
            </w:r>
          </w:p>
        </w:tc>
        <w:tc>
          <w:tcPr>
            <w:tcW w:type="dxa" w:w="3600"/>
            <w:vAlign w:val="center"/>
          </w:tcPr>
          <w:p>
            <w:r/>
            <w:r>
              <w:rPr>
                <w:rFonts w:ascii="Aptos" w:hAnsi="Aptos"/>
                <w:b w:val="0"/>
                <w:sz w:val="17"/>
              </w:rPr>
              <w:t>PASS or WARN depending on headroom/confidence</w:t>
            </w:r>
          </w:p>
        </w:tc>
      </w:tr>
      <w:tr>
        <w:tc>
          <w:tcPr>
            <w:tcW w:type="dxa" w:w="6912"/>
            <w:vAlign w:val="center"/>
          </w:tcPr>
          <w:p>
            <w:r/>
            <w:r>
              <w:rPr>
                <w:rFonts w:ascii="Aptos" w:hAnsi="Aptos"/>
                <w:b w:val="0"/>
                <w:sz w:val="17"/>
              </w:rPr>
              <w:t>Mixed or incomplete critical memory evidence</w:t>
            </w:r>
          </w:p>
        </w:tc>
        <w:tc>
          <w:tcPr>
            <w:tcW w:type="dxa" w:w="3600"/>
            <w:vAlign w:val="center"/>
          </w:tcPr>
          <w:p>
            <w:r/>
            <w:r>
              <w:rPr>
                <w:rFonts w:ascii="Aptos" w:hAnsi="Aptos"/>
                <w:b w:val="0"/>
                <w:sz w:val="17"/>
              </w:rPr>
              <w:t>WARN / validation required; never raise confidence</w:t>
            </w:r>
          </w:p>
        </w:tc>
      </w:tr>
      <w:tr>
        <w:tc>
          <w:tcPr>
            <w:tcW w:type="dxa" w:w="6912"/>
            <w:vAlign w:val="center"/>
          </w:tcPr>
          <w:p>
            <w:r/>
            <w:r>
              <w:rPr>
                <w:rFonts w:ascii="Aptos" w:hAnsi="Aptos"/>
                <w:b w:val="0"/>
                <w:sz w:val="17"/>
              </w:rPr>
              <w:t>Sustained pressure or required working set exceeds candidate</w:t>
            </w:r>
          </w:p>
        </w:tc>
        <w:tc>
          <w:tcPr>
            <w:tcW w:type="dxa" w:w="3600"/>
            <w:vAlign w:val="center"/>
          </w:tcPr>
          <w:p>
            <w:r/>
            <w:r>
              <w:rPr>
                <w:rFonts w:ascii="Aptos" w:hAnsi="Aptos"/>
                <w:b w:val="0"/>
                <w:sz w:val="17"/>
              </w:rPr>
              <w:t>FAIL candidate</w:t>
            </w:r>
          </w:p>
        </w:tc>
      </w:tr>
    </w:tbl>
    <w:p/>
    <w:p>
      <w:pPr>
        <w:pStyle w:val="Heading1"/>
      </w:pPr>
      <w:r>
        <w:t>6. IOPS and Throughput Rule</w:t>
      </w:r>
    </w:p>
    <w:p>
      <w:r>
        <w:t>IOPS and throughput are not optimization objectives. They are candidate capability gates. A smaller instance should be accepted if the complete target configuration can safely support the observed workload.</w:t>
      </w:r>
    </w:p>
    <w:p>
      <w:pPr>
        <w:pStyle w:val="Heading2"/>
      </w:pPr>
      <w:r>
        <w:t>6.1 Effective capability</w:t>
      </w:r>
    </w:p>
    <w:p>
      <w:r>
        <w:t>For each candidate, determine the effective IOPS and throughput ceiling as the lower of the candidate instance-side capability and the configured storage-side capability.</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0B1D3A"/>
          </w:tcPr>
          <w:p>
            <w:r/>
            <w:r>
              <w:rPr>
                <w:rFonts w:ascii="Aptos" w:hAnsi="Aptos"/>
                <w:b/>
                <w:color w:val="FFFFFF"/>
                <w:sz w:val="18"/>
              </w:rPr>
              <w:t>I/O rule</w:t>
            </w:r>
          </w:p>
        </w:tc>
        <w:tc>
          <w:tcPr>
            <w:tcW w:type="dxa" w:w="3456"/>
            <w:vAlign w:val="center"/>
            <w:shd w:fill="0B1D3A"/>
          </w:tcPr>
          <w:p>
            <w:r/>
            <w:r>
              <w:rPr>
                <w:rFonts w:ascii="Aptos" w:hAnsi="Aptos"/>
                <w:b/>
                <w:color w:val="FFFFFF"/>
                <w:sz w:val="18"/>
              </w:rPr>
              <w:t>Threshold / behavior</w:t>
            </w:r>
          </w:p>
        </w:tc>
        <w:tc>
          <w:tcPr>
            <w:tcW w:type="dxa" w:w="3888"/>
            <w:vAlign w:val="center"/>
            <w:shd w:fill="0B1D3A"/>
          </w:tcPr>
          <w:p>
            <w:r/>
            <w:r>
              <w:rPr>
                <w:rFonts w:ascii="Aptos" w:hAnsi="Aptos"/>
                <w:b/>
                <w:color w:val="FFFFFF"/>
                <w:sz w:val="18"/>
              </w:rPr>
              <w:t>Effect</w:t>
            </w:r>
          </w:p>
        </w:tc>
      </w:tr>
      <w:tr>
        <w:tc>
          <w:tcPr>
            <w:tcW w:type="dxa" w:w="3168"/>
            <w:vAlign w:val="center"/>
          </w:tcPr>
          <w:p>
            <w:r/>
            <w:r>
              <w:rPr>
                <w:rFonts w:ascii="Aptos" w:hAnsi="Aptos"/>
                <w:b w:val="0"/>
                <w:sz w:val="17"/>
              </w:rPr>
              <w:t>P95 IOPS demand</w:t>
            </w:r>
          </w:p>
        </w:tc>
        <w:tc>
          <w:tcPr>
            <w:tcW w:type="dxa" w:w="3456"/>
            <w:vAlign w:val="center"/>
          </w:tcPr>
          <w:p>
            <w:r/>
            <w:r>
              <w:rPr>
                <w:rFonts w:ascii="Aptos" w:hAnsi="Aptos"/>
                <w:b w:val="0"/>
                <w:sz w:val="17"/>
              </w:rPr>
              <w:t>&lt;= 70% of effective capability</w:t>
            </w:r>
          </w:p>
        </w:tc>
        <w:tc>
          <w:tcPr>
            <w:tcW w:type="dxa" w:w="3888"/>
            <w:vAlign w:val="center"/>
          </w:tcPr>
          <w:p>
            <w:r/>
            <w:r>
              <w:rPr>
                <w:rFonts w:ascii="Aptos" w:hAnsi="Aptos"/>
                <w:b w:val="0"/>
                <w:sz w:val="17"/>
              </w:rPr>
              <w:t>Normal operating headroom target.</w:t>
            </w:r>
          </w:p>
        </w:tc>
      </w:tr>
      <w:tr>
        <w:tc>
          <w:tcPr>
            <w:tcW w:type="dxa" w:w="3168"/>
            <w:vAlign w:val="center"/>
          </w:tcPr>
          <w:p>
            <w:r/>
            <w:r>
              <w:rPr>
                <w:rFonts w:ascii="Aptos" w:hAnsi="Aptos"/>
                <w:b w:val="0"/>
                <w:sz w:val="17"/>
              </w:rPr>
              <w:t>P99 IOPS demand</w:t>
            </w:r>
          </w:p>
        </w:tc>
        <w:tc>
          <w:tcPr>
            <w:tcW w:type="dxa" w:w="3456"/>
            <w:vAlign w:val="center"/>
          </w:tcPr>
          <w:p>
            <w:r/>
            <w:r>
              <w:rPr>
                <w:rFonts w:ascii="Aptos" w:hAnsi="Aptos"/>
                <w:b w:val="0"/>
                <w:sz w:val="17"/>
              </w:rPr>
              <w:t>&lt;= 90% of effective capability</w:t>
            </w:r>
          </w:p>
        </w:tc>
        <w:tc>
          <w:tcPr>
            <w:tcW w:type="dxa" w:w="3888"/>
            <w:vAlign w:val="center"/>
          </w:tcPr>
          <w:p>
            <w:r/>
            <w:r>
              <w:rPr>
                <w:rFonts w:ascii="Aptos" w:hAnsi="Aptos"/>
                <w:b w:val="0"/>
                <w:sz w:val="17"/>
              </w:rPr>
              <w:t>Burst safety ceiling.</w:t>
            </w:r>
          </w:p>
        </w:tc>
      </w:tr>
      <w:tr>
        <w:tc>
          <w:tcPr>
            <w:tcW w:type="dxa" w:w="3168"/>
            <w:vAlign w:val="center"/>
          </w:tcPr>
          <w:p>
            <w:r/>
            <w:r>
              <w:rPr>
                <w:rFonts w:ascii="Aptos" w:hAnsi="Aptos"/>
                <w:b w:val="0"/>
                <w:sz w:val="17"/>
              </w:rPr>
              <w:t>P95 throughput</w:t>
            </w:r>
          </w:p>
        </w:tc>
        <w:tc>
          <w:tcPr>
            <w:tcW w:type="dxa" w:w="3456"/>
            <w:vAlign w:val="center"/>
          </w:tcPr>
          <w:p>
            <w:r/>
            <w:r>
              <w:rPr>
                <w:rFonts w:ascii="Aptos" w:hAnsi="Aptos"/>
                <w:b w:val="0"/>
                <w:sz w:val="17"/>
              </w:rPr>
              <w:t>&lt;= 70% of effective capability</w:t>
            </w:r>
          </w:p>
        </w:tc>
        <w:tc>
          <w:tcPr>
            <w:tcW w:type="dxa" w:w="3888"/>
            <w:vAlign w:val="center"/>
          </w:tcPr>
          <w:p>
            <w:r/>
            <w:r>
              <w:rPr>
                <w:rFonts w:ascii="Aptos" w:hAnsi="Aptos"/>
                <w:b w:val="0"/>
                <w:sz w:val="17"/>
              </w:rPr>
              <w:t>Normal operating headroom target.</w:t>
            </w:r>
          </w:p>
        </w:tc>
      </w:tr>
      <w:tr>
        <w:tc>
          <w:tcPr>
            <w:tcW w:type="dxa" w:w="3168"/>
            <w:vAlign w:val="center"/>
          </w:tcPr>
          <w:p>
            <w:r/>
            <w:r>
              <w:rPr>
                <w:rFonts w:ascii="Aptos" w:hAnsi="Aptos"/>
                <w:b w:val="0"/>
                <w:sz w:val="17"/>
              </w:rPr>
              <w:t>P99 throughput</w:t>
            </w:r>
          </w:p>
        </w:tc>
        <w:tc>
          <w:tcPr>
            <w:tcW w:type="dxa" w:w="3456"/>
            <w:vAlign w:val="center"/>
          </w:tcPr>
          <w:p>
            <w:r/>
            <w:r>
              <w:rPr>
                <w:rFonts w:ascii="Aptos" w:hAnsi="Aptos"/>
                <w:b w:val="0"/>
                <w:sz w:val="17"/>
              </w:rPr>
              <w:t>&lt;= 90% of effective capability</w:t>
            </w:r>
          </w:p>
        </w:tc>
        <w:tc>
          <w:tcPr>
            <w:tcW w:type="dxa" w:w="3888"/>
            <w:vAlign w:val="center"/>
          </w:tcPr>
          <w:p>
            <w:r/>
            <w:r>
              <w:rPr>
                <w:rFonts w:ascii="Aptos" w:hAnsi="Aptos"/>
                <w:b w:val="0"/>
                <w:sz w:val="17"/>
              </w:rPr>
              <w:t>Burst safety ceiling.</w:t>
            </w:r>
          </w:p>
        </w:tc>
      </w:tr>
      <w:tr>
        <w:tc>
          <w:tcPr>
            <w:tcW w:type="dxa" w:w="3168"/>
            <w:vAlign w:val="center"/>
          </w:tcPr>
          <w:p>
            <w:r/>
            <w:r>
              <w:rPr>
                <w:rFonts w:ascii="Aptos" w:hAnsi="Aptos"/>
                <w:b w:val="0"/>
                <w:sz w:val="17"/>
              </w:rPr>
              <w:t>Hard maximum</w:t>
            </w:r>
          </w:p>
        </w:tc>
        <w:tc>
          <w:tcPr>
            <w:tcW w:type="dxa" w:w="3456"/>
            <w:vAlign w:val="center"/>
          </w:tcPr>
          <w:p>
            <w:r/>
            <w:r>
              <w:rPr>
                <w:rFonts w:ascii="Aptos" w:hAnsi="Aptos"/>
                <w:b w:val="0"/>
                <w:sz w:val="17"/>
              </w:rPr>
              <w:t>Never exceed</w:t>
            </w:r>
          </w:p>
        </w:tc>
        <w:tc>
          <w:tcPr>
            <w:tcW w:type="dxa" w:w="3888"/>
            <w:vAlign w:val="center"/>
          </w:tcPr>
          <w:p>
            <w:r/>
            <w:r>
              <w:rPr>
                <w:rFonts w:ascii="Aptos" w:hAnsi="Aptos"/>
                <w:b w:val="0"/>
                <w:sz w:val="17"/>
              </w:rPr>
              <w:t>Immediate candidate rejection.</w:t>
            </w:r>
          </w:p>
        </w:tc>
      </w:tr>
    </w:tbl>
    <w:p/>
    <w:p>
      <w:pPr>
        <w:pStyle w:val="Heading2"/>
      </w:pPr>
      <w:r>
        <w:t>6.2 If I/O fails</w:t>
      </w:r>
    </w:p>
    <w:p>
      <w:r>
        <w:t>Do not immediately keep the larger instance. Investigate a cheaper configuration that preserves required I/O:</w:t>
      </w:r>
    </w:p>
    <w:p>
      <w:pPr>
        <w:pStyle w:val="ListNumber"/>
      </w:pPr>
      <w:r>
        <w:t>Determine whether storage configuration can be changed economically (for example, IOPS/throughput provisioning where supported).</w:t>
      </w:r>
    </w:p>
    <w:p>
      <w:pPr>
        <w:pStyle w:val="ListNumber"/>
      </w:pPr>
      <w:r>
        <w:t>Determine whether instance-side bandwidth rather than storage is the bottleneck.</w:t>
      </w:r>
    </w:p>
    <w:p>
      <w:pPr>
        <w:pStyle w:val="ListNumber"/>
      </w:pPr>
      <w:r>
        <w:t>Evaluate another supported RDS SQL Server family with better I/O capability and lower total cost.</w:t>
      </w:r>
    </w:p>
    <w:p>
      <w:pPr>
        <w:pStyle w:val="ListNumber"/>
      </w:pPr>
      <w:r>
        <w:t>Where tempdb I/O is the limiting factor, evaluate supported NVMe instance-store families for RDS SQL Server. NVMe instance store is for tempdb; regular database and log files remain on persistent RDS storage.</w:t>
      </w:r>
    </w:p>
    <w:p>
      <w:pPr>
        <w:pStyle w:val="ListNumber"/>
      </w:pPr>
      <w:r>
        <w:t>Re-run CPU, memory, IOPS, throughput, network, compatibility, and cost gates on the alternative.</w:t>
      </w:r>
    </w:p>
    <w:p>
      <w:r>
        <w:t>If no cheaper supported alternative satisfies the I/O requirement, reject the downsizing path.</w:t>
      </w:r>
    </w:p>
    <w:p>
      <w:pPr>
        <w:pStyle w:val="Heading1"/>
      </w:pPr>
      <w:r>
        <w:t>7. Remaining Candidate Safety Gates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0B1D3A"/>
          </w:tcPr>
          <w:p>
            <w:r/>
            <w:r>
              <w:rPr>
                <w:rFonts w:ascii="Aptos" w:hAnsi="Aptos"/>
                <w:b/>
                <w:color w:val="FFFFFF"/>
                <w:sz w:val="18"/>
              </w:rPr>
              <w:t>Gate</w:t>
            </w:r>
          </w:p>
        </w:tc>
        <w:tc>
          <w:tcPr>
            <w:tcW w:type="dxa" w:w="7488"/>
            <w:vAlign w:val="center"/>
            <w:shd w:fill="0B1D3A"/>
          </w:tcPr>
          <w:p>
            <w:r/>
            <w:r>
              <w:rPr>
                <w:rFonts w:ascii="Aptos" w:hAnsi="Aptos"/>
                <w:b/>
                <w:color w:val="FFFFFF"/>
                <w:sz w:val="18"/>
              </w:rPr>
              <w:t>Rule</w:t>
            </w:r>
          </w:p>
        </w:tc>
      </w:tr>
      <w:tr>
        <w:tc>
          <w:tcPr>
            <w:tcW w:type="dxa" w:w="3168"/>
            <w:vAlign w:val="center"/>
          </w:tcPr>
          <w:p>
            <w:r/>
            <w:r>
              <w:rPr>
                <w:rFonts w:ascii="Aptos" w:hAnsi="Aptos"/>
                <w:b w:val="0"/>
                <w:sz w:val="17"/>
              </w:rPr>
              <w:t>Network</w:t>
            </w:r>
          </w:p>
        </w:tc>
        <w:tc>
          <w:tcPr>
            <w:tcW w:type="dxa" w:w="7488"/>
            <w:vAlign w:val="center"/>
          </w:tcPr>
          <w:p>
            <w:r/>
            <w:r>
              <w:rPr>
                <w:rFonts w:ascii="Aptos" w:hAnsi="Aptos"/>
                <w:b w:val="0"/>
                <w:sz w:val="17"/>
              </w:rPr>
              <w:t>Projected/observed network demand must remain within candidate limits with headroom.</w:t>
            </w:r>
          </w:p>
        </w:tc>
      </w:tr>
      <w:tr>
        <w:tc>
          <w:tcPr>
            <w:tcW w:type="dxa" w:w="3168"/>
            <w:vAlign w:val="center"/>
          </w:tcPr>
          <w:p>
            <w:r/>
            <w:r>
              <w:rPr>
                <w:rFonts w:ascii="Aptos" w:hAnsi="Aptos"/>
                <w:b w:val="0"/>
                <w:sz w:val="17"/>
              </w:rPr>
              <w:t>Storage capacity</w:t>
            </w:r>
          </w:p>
        </w:tc>
        <w:tc>
          <w:tcPr>
            <w:tcW w:type="dxa" w:w="7488"/>
            <w:vAlign w:val="center"/>
          </w:tcPr>
          <w:p>
            <w:r/>
            <w:r>
              <w:rPr>
                <w:rFonts w:ascii="Aptos" w:hAnsi="Aptos"/>
                <w:b w:val="0"/>
                <w:sz w:val="17"/>
              </w:rPr>
              <w:t>Allocated storage and growth requirements must remain supported.</w:t>
            </w:r>
          </w:p>
        </w:tc>
      </w:tr>
      <w:tr>
        <w:tc>
          <w:tcPr>
            <w:tcW w:type="dxa" w:w="3168"/>
            <w:vAlign w:val="center"/>
          </w:tcPr>
          <w:p>
            <w:r/>
            <w:r>
              <w:rPr>
                <w:rFonts w:ascii="Aptos" w:hAnsi="Aptos"/>
                <w:b w:val="0"/>
                <w:sz w:val="17"/>
              </w:rPr>
              <w:t>SQL Server edition/version</w:t>
            </w:r>
          </w:p>
        </w:tc>
        <w:tc>
          <w:tcPr>
            <w:tcW w:type="dxa" w:w="7488"/>
            <w:vAlign w:val="center"/>
          </w:tcPr>
          <w:p>
            <w:r/>
            <w:r>
              <w:rPr>
                <w:rFonts w:ascii="Aptos" w:hAnsi="Aptos"/>
                <w:b w:val="0"/>
                <w:sz w:val="17"/>
              </w:rPr>
              <w:t>Candidate must be orderable and supported for the customer's exact edition/version.</w:t>
            </w:r>
          </w:p>
        </w:tc>
      </w:tr>
      <w:tr>
        <w:tc>
          <w:tcPr>
            <w:tcW w:type="dxa" w:w="3168"/>
            <w:vAlign w:val="center"/>
          </w:tcPr>
          <w:p>
            <w:r/>
            <w:r>
              <w:rPr>
                <w:rFonts w:ascii="Aptos" w:hAnsi="Aptos"/>
                <w:b w:val="0"/>
                <w:sz w:val="17"/>
              </w:rPr>
              <w:t>Feature dependencies</w:t>
            </w:r>
          </w:p>
        </w:tc>
        <w:tc>
          <w:tcPr>
            <w:tcW w:type="dxa" w:w="7488"/>
            <w:vAlign w:val="center"/>
          </w:tcPr>
          <w:p>
            <w:r/>
            <w:r>
              <w:rPr>
                <w:rFonts w:ascii="Aptos" w:hAnsi="Aptos"/>
                <w:b w:val="0"/>
                <w:sz w:val="17"/>
              </w:rPr>
              <w:t>Edition-changing recommendations require explicit feature validation and higher risk classification.</w:t>
            </w:r>
          </w:p>
        </w:tc>
      </w:tr>
      <w:tr>
        <w:tc>
          <w:tcPr>
            <w:tcW w:type="dxa" w:w="3168"/>
            <w:vAlign w:val="center"/>
          </w:tcPr>
          <w:p>
            <w:r/>
            <w:r>
              <w:rPr>
                <w:rFonts w:ascii="Aptos" w:hAnsi="Aptos"/>
                <w:b w:val="0"/>
                <w:sz w:val="17"/>
              </w:rPr>
              <w:t>Multi-AZ</w:t>
            </w:r>
          </w:p>
        </w:tc>
        <w:tc>
          <w:tcPr>
            <w:tcW w:type="dxa" w:w="7488"/>
            <w:vAlign w:val="center"/>
          </w:tcPr>
          <w:p>
            <w:r/>
            <w:r>
              <w:rPr>
                <w:rFonts w:ascii="Aptos" w:hAnsi="Aptos"/>
                <w:b w:val="0"/>
                <w:sz w:val="17"/>
              </w:rPr>
              <w:t>Do not remove HA automatically for cost savings; business/availability requirement is authoritative.</w:t>
            </w:r>
          </w:p>
        </w:tc>
      </w:tr>
      <w:tr>
        <w:tc>
          <w:tcPr>
            <w:tcW w:type="dxa" w:w="3168"/>
            <w:vAlign w:val="center"/>
          </w:tcPr>
          <w:p>
            <w:r/>
            <w:r>
              <w:rPr>
                <w:rFonts w:ascii="Aptos" w:hAnsi="Aptos"/>
                <w:b w:val="0"/>
                <w:sz w:val="17"/>
              </w:rPr>
              <w:t>Temporary storage / tempdb</w:t>
            </w:r>
          </w:p>
        </w:tc>
        <w:tc>
          <w:tcPr>
            <w:tcW w:type="dxa" w:w="7488"/>
            <w:vAlign w:val="center"/>
          </w:tcPr>
          <w:p>
            <w:r/>
            <w:r>
              <w:rPr>
                <w:rFonts w:ascii="Aptos" w:hAnsi="Aptos"/>
                <w:b w:val="0"/>
                <w:sz w:val="17"/>
              </w:rPr>
              <w:t>Validate tempdb behavior, especially when considering NVMe instance-store alternatives.</w:t>
            </w:r>
          </w:p>
        </w:tc>
      </w:tr>
      <w:tr>
        <w:tc>
          <w:tcPr>
            <w:tcW w:type="dxa" w:w="3168"/>
            <w:vAlign w:val="center"/>
          </w:tcPr>
          <w:p>
            <w:r/>
            <w:r>
              <w:rPr>
                <w:rFonts w:ascii="Aptos" w:hAnsi="Aptos"/>
                <w:b w:val="0"/>
                <w:sz w:val="17"/>
              </w:rPr>
              <w:t>Pricing</w:t>
            </w:r>
          </w:p>
        </w:tc>
        <w:tc>
          <w:tcPr>
            <w:tcW w:type="dxa" w:w="7488"/>
            <w:vAlign w:val="center"/>
          </w:tcPr>
          <w:p>
            <w:r/>
            <w:r>
              <w:rPr>
                <w:rFonts w:ascii="Aptos" w:hAnsi="Aptos"/>
                <w:b w:val="0"/>
                <w:sz w:val="17"/>
              </w:rPr>
              <w:t>If authoritative price cannot be resolved, do not publish savings as confirmed.</w:t>
            </w:r>
          </w:p>
        </w:tc>
      </w:tr>
      <w:tr>
        <w:tc>
          <w:tcPr>
            <w:tcW w:type="dxa" w:w="3168"/>
            <w:vAlign w:val="center"/>
          </w:tcPr>
          <w:p>
            <w:r/>
            <w:r>
              <w:rPr>
                <w:rFonts w:ascii="Aptos" w:hAnsi="Aptos"/>
                <w:b w:val="0"/>
                <w:sz w:val="17"/>
              </w:rPr>
              <w:t>Unsupported transition</w:t>
            </w:r>
          </w:p>
        </w:tc>
        <w:tc>
          <w:tcPr>
            <w:tcW w:type="dxa" w:w="7488"/>
            <w:vAlign w:val="center"/>
          </w:tcPr>
          <w:p>
            <w:r/>
            <w:r>
              <w:rPr>
                <w:rFonts w:ascii="Aptos" w:hAnsi="Aptos"/>
                <w:b w:val="0"/>
                <w:sz w:val="17"/>
              </w:rPr>
              <w:t>Reject any class/family/storage combination not supported by RDS SQL Server.</w:t>
            </w:r>
          </w:p>
        </w:tc>
      </w:tr>
    </w:tbl>
    <w:p/>
    <w:p>
      <w:pPr>
        <w:pStyle w:val="Heading1"/>
      </w:pPr>
      <w:r>
        <w:t>8. Cost and Licensing Ranking</w:t>
      </w:r>
    </w:p>
    <w:p>
      <w:r>
        <w:t>Only candidates that pass all required technical gates are eligible for cost ranking. Chodo then compares total expected cost, not instance price alone.</w:t>
      </w:r>
    </w:p>
    <w:p>
      <w:pPr>
        <w:pStyle w:val="ListBullet"/>
      </w:pPr>
      <w:r>
        <w:t>DB instance compute.</w:t>
      </w:r>
    </w:p>
    <w:p>
      <w:pPr>
        <w:pStyle w:val="ListBullet"/>
      </w:pPr>
      <w:r>
        <w:t>SQL Server licensing embedded in or associated with the selected configuration.</w:t>
      </w:r>
    </w:p>
    <w:p>
      <w:pPr>
        <w:pStyle w:val="ListBullet"/>
      </w:pPr>
      <w:r>
        <w:t>Enabled/SQL-visible CPU when Optimize CPU or an equivalent supported licensing configuration is relevant.</w:t>
      </w:r>
    </w:p>
    <w:p>
      <w:pPr>
        <w:pStyle w:val="ListBullet"/>
      </w:pPr>
      <w:r>
        <w:t>Storage, provisioned IOPS, throughput, backup-related cost where material.</w:t>
      </w:r>
    </w:p>
    <w:p>
      <w:pPr>
        <w:pStyle w:val="ListBullet"/>
      </w:pPr>
      <w:r>
        <w:t>Multi-AZ impact.</w:t>
      </w:r>
    </w:p>
    <w:p>
      <w:pPr>
        <w:pStyle w:val="ListBullet"/>
      </w:pPr>
      <w:r>
        <w:t>Commitment pricing only after rightsizing; do not lock oversized resources into commitments.</w:t>
      </w:r>
    </w:p>
    <w:p>
      <w:pPr>
        <w:pStyle w:val="Callout"/>
      </w:pPr>
      <w:r>
        <w:t>Final selection = lowest total-cost candidate that passes all hard gates and meets the required confidence policy.</w:t>
      </w:r>
    </w:p>
    <w:p>
      <w:pPr>
        <w:pStyle w:val="Heading1"/>
      </w:pPr>
      <w:r>
        <w:t>9. Optimize CPU / Same-Memory Alternative</w:t>
      </w:r>
    </w:p>
    <w:p>
      <w:r>
        <w:t>If instance-size reduction is blocked primarily by RAM but CPU and SQL licensing are materially overprovisioned, Chodo should evaluate a same-memory or memory-preserving configuration with fewer SQL-visible/enabled CPUs where supported.</w:t>
      </w:r>
    </w:p>
    <w:p>
      <w:pPr>
        <w:pStyle w:val="ListBullet"/>
      </w:pPr>
      <w:r>
        <w:t>Use the same CPU projection rules.</w:t>
      </w:r>
    </w:p>
    <w:p>
      <w:pPr>
        <w:pStyle w:val="ListBullet"/>
      </w:pPr>
      <w:r>
        <w:t>Retain memory capacity required by the workload.</w:t>
      </w:r>
    </w:p>
    <w:p>
      <w:pPr>
        <w:pStyle w:val="ListBullet"/>
      </w:pPr>
      <w:r>
        <w:t>Recalculate licensing and total cost.</w:t>
      </w:r>
    </w:p>
    <w:p>
      <w:pPr>
        <w:pStyle w:val="ListBullet"/>
      </w:pPr>
      <w:r>
        <w:t>Compare the result against all smaller-instance survivors; do not prefer Optimize CPU automatically.</w:t>
      </w:r>
    </w:p>
    <w:p>
      <w:pPr>
        <w:pStyle w:val="Heading1"/>
      </w:pPr>
      <w:r>
        <w:t>10. Independent Guardrail Engine</w:t>
      </w:r>
    </w:p>
    <w:p>
      <w:r>
        <w:t>The recommendation engine finds the lowest-cost candidate. The guardrail engine independently validates whether that recommendation is allowed to reach the customer.</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0B1D3A"/>
          </w:tcPr>
          <w:p>
            <w:r/>
            <w:r>
              <w:rPr>
                <w:rFonts w:ascii="Aptos" w:hAnsi="Aptos"/>
                <w:b/>
                <w:color w:val="FFFFFF"/>
                <w:sz w:val="18"/>
              </w:rPr>
              <w:t>Result</w:t>
            </w:r>
          </w:p>
        </w:tc>
        <w:tc>
          <w:tcPr>
            <w:tcW w:type="dxa" w:w="4320"/>
            <w:vAlign w:val="center"/>
            <w:shd w:fill="0B1D3A"/>
          </w:tcPr>
          <w:p>
            <w:r/>
            <w:r>
              <w:rPr>
                <w:rFonts w:ascii="Aptos" w:hAnsi="Aptos"/>
                <w:b/>
                <w:color w:val="FFFFFF"/>
                <w:sz w:val="18"/>
              </w:rPr>
              <w:t>Meaning</w:t>
            </w:r>
          </w:p>
        </w:tc>
        <w:tc>
          <w:tcPr>
            <w:tcW w:type="dxa" w:w="4608"/>
            <w:vAlign w:val="center"/>
            <w:shd w:fill="0B1D3A"/>
          </w:tcPr>
          <w:p>
            <w:r/>
            <w:r>
              <w:rPr>
                <w:rFonts w:ascii="Aptos" w:hAnsi="Aptos"/>
                <w:b/>
                <w:color w:val="FFFFFF"/>
                <w:sz w:val="18"/>
              </w:rPr>
              <w:t>Customer behavior</w:t>
            </w:r>
          </w:p>
        </w:tc>
      </w:tr>
      <w:tr>
        <w:tc>
          <w:tcPr>
            <w:tcW w:type="dxa" w:w="1584"/>
            <w:vAlign w:val="center"/>
          </w:tcPr>
          <w:p>
            <w:r/>
            <w:r>
              <w:rPr>
                <w:rFonts w:ascii="Aptos" w:hAnsi="Aptos"/>
                <w:b w:val="0"/>
                <w:sz w:val="17"/>
              </w:rPr>
              <w:t>PASS</w:t>
            </w:r>
          </w:p>
        </w:tc>
        <w:tc>
          <w:tcPr>
            <w:tcW w:type="dxa" w:w="4320"/>
            <w:vAlign w:val="center"/>
          </w:tcPr>
          <w:p>
            <w:r/>
            <w:r>
              <w:rPr>
                <w:rFonts w:ascii="Aptos" w:hAnsi="Aptos"/>
                <w:b w:val="0"/>
                <w:sz w:val="17"/>
              </w:rPr>
              <w:t>All required gates pass and evidence supports the recommendation.</w:t>
            </w:r>
          </w:p>
        </w:tc>
        <w:tc>
          <w:tcPr>
            <w:tcW w:type="dxa" w:w="4608"/>
            <w:vAlign w:val="center"/>
          </w:tcPr>
          <w:p>
            <w:r/>
            <w:r>
              <w:rPr>
                <w:rFonts w:ascii="Aptos" w:hAnsi="Aptos"/>
                <w:b w:val="0"/>
                <w:sz w:val="17"/>
              </w:rPr>
              <w:t>Release recommendation normally.</w:t>
            </w:r>
          </w:p>
        </w:tc>
      </w:tr>
      <w:tr>
        <w:tc>
          <w:tcPr>
            <w:tcW w:type="dxa" w:w="1584"/>
            <w:vAlign w:val="center"/>
          </w:tcPr>
          <w:p>
            <w:r/>
            <w:r>
              <w:rPr>
                <w:rFonts w:ascii="Aptos" w:hAnsi="Aptos"/>
                <w:b w:val="0"/>
                <w:sz w:val="17"/>
              </w:rPr>
              <w:t>WARN</w:t>
            </w:r>
          </w:p>
        </w:tc>
        <w:tc>
          <w:tcPr>
            <w:tcW w:type="dxa" w:w="4320"/>
            <w:vAlign w:val="center"/>
          </w:tcPr>
          <w:p>
            <w:r/>
            <w:r>
              <w:rPr>
                <w:rFonts w:ascii="Aptos" w:hAnsi="Aptos"/>
                <w:b w:val="0"/>
                <w:sz w:val="17"/>
              </w:rPr>
              <w:t>No hard violation, but evidence is incomplete, borderline, or cross-family uncertainty exists.</w:t>
            </w:r>
          </w:p>
        </w:tc>
        <w:tc>
          <w:tcPr>
            <w:tcW w:type="dxa" w:w="4608"/>
            <w:vAlign w:val="center"/>
          </w:tcPr>
          <w:p>
            <w:r/>
            <w:r>
              <w:rPr>
                <w:rFonts w:ascii="Aptos" w:hAnsi="Aptos"/>
                <w:b w:val="0"/>
                <w:sz w:val="17"/>
              </w:rPr>
              <w:t>Release as Validation Required / Medium Confidence.</w:t>
            </w:r>
          </w:p>
        </w:tc>
      </w:tr>
      <w:tr>
        <w:tc>
          <w:tcPr>
            <w:tcW w:type="dxa" w:w="1584"/>
            <w:vAlign w:val="center"/>
          </w:tcPr>
          <w:p>
            <w:r/>
            <w:r>
              <w:rPr>
                <w:rFonts w:ascii="Aptos" w:hAnsi="Aptos"/>
                <w:b w:val="0"/>
                <w:sz w:val="17"/>
              </w:rPr>
              <w:t>FAIL / BLOCK</w:t>
            </w:r>
          </w:p>
        </w:tc>
        <w:tc>
          <w:tcPr>
            <w:tcW w:type="dxa" w:w="4320"/>
            <w:vAlign w:val="center"/>
          </w:tcPr>
          <w:p>
            <w:r/>
            <w:r>
              <w:rPr>
                <w:rFonts w:ascii="Aptos" w:hAnsi="Aptos"/>
                <w:b w:val="0"/>
                <w:sz w:val="17"/>
              </w:rPr>
              <w:t>One or more hard safety gates fail.</w:t>
            </w:r>
          </w:p>
        </w:tc>
        <w:tc>
          <w:tcPr>
            <w:tcW w:type="dxa" w:w="4608"/>
            <w:vAlign w:val="center"/>
          </w:tcPr>
          <w:p>
            <w:r/>
            <w:r>
              <w:rPr>
                <w:rFonts w:ascii="Aptos" w:hAnsi="Aptos"/>
                <w:b w:val="0"/>
                <w:sz w:val="17"/>
              </w:rPr>
              <w:t>Do not expose candidate as recommended; try next valid candidate or return No Safe Change.</w:t>
            </w:r>
          </w:p>
        </w:tc>
      </w:tr>
    </w:tbl>
    <w:p/>
    <w:p>
      <w:pPr>
        <w:pStyle w:val="Heading2"/>
      </w:pPr>
      <w:r>
        <w:t>10.1 Rule contract</w:t>
      </w:r>
    </w:p>
    <w:p>
      <w:r>
        <w:t>Every rule should return a structured result:</w:t>
      </w:r>
    </w:p>
    <w:p>
      <w:pPr>
        <w:pStyle w:val="ListBullet"/>
      </w:pPr>
      <w:r>
        <w:t>rule_id</w:t>
      </w:r>
    </w:p>
    <w:p>
      <w:pPr>
        <w:pStyle w:val="ListBullet"/>
      </w:pPr>
      <w:r>
        <w:t>PASS / WARN / FAIL</w:t>
      </w:r>
    </w:p>
    <w:p>
      <w:pPr>
        <w:pStyle w:val="ListBullet"/>
      </w:pPr>
      <w:r>
        <w:t>metric(s) used</w:t>
      </w:r>
    </w:p>
    <w:p>
      <w:pPr>
        <w:pStyle w:val="ListBullet"/>
      </w:pPr>
      <w:r>
        <w:t>threshold(s)</w:t>
      </w:r>
    </w:p>
    <w:p>
      <w:pPr>
        <w:pStyle w:val="ListBullet"/>
      </w:pPr>
      <w:r>
        <w:t>actual/projected value(s)</w:t>
      </w:r>
    </w:p>
    <w:p>
      <w:pPr>
        <w:pStyle w:val="ListBullet"/>
      </w:pPr>
      <w:r>
        <w:t>reason</w:t>
      </w:r>
    </w:p>
    <w:p>
      <w:pPr>
        <w:pStyle w:val="ListBullet"/>
      </w:pPr>
      <w:r>
        <w:t>confidence impact</w:t>
      </w:r>
    </w:p>
    <w:p>
      <w:pPr>
        <w:pStyle w:val="ListBullet"/>
      </w:pPr>
      <w:r>
        <w:t>candidate id / configuration</w:t>
      </w:r>
    </w:p>
    <w:p>
      <w:pPr>
        <w:pStyle w:val="ListBullet"/>
      </w:pPr>
      <w:r>
        <w:t>evidence completeness</w:t>
      </w:r>
    </w:p>
    <w:p>
      <w:pPr>
        <w:pStyle w:val="Heading2"/>
      </w:pPr>
      <w:r>
        <w:t>10.2 Hard blocks</w:t>
      </w:r>
    </w:p>
    <w:p>
      <w:pPr>
        <w:pStyle w:val="ListBullet"/>
      </w:pPr>
      <w:r>
        <w:t>Projected SQL CPU P99 exceeds 90%.</w:t>
      </w:r>
    </w:p>
    <w:p>
      <w:pPr>
        <w:pStyle w:val="ListBullet"/>
      </w:pPr>
      <w:r>
        <w:t>Concurrent projected total CPU exceeds 90%.</w:t>
      </w:r>
    </w:p>
    <w:p>
      <w:pPr>
        <w:pStyle w:val="ListBullet"/>
      </w:pPr>
      <w:r>
        <w:t>Candidate memory cannot support the required working set after investigation.</w:t>
      </w:r>
    </w:p>
    <w:p>
      <w:pPr>
        <w:pStyle w:val="ListBullet"/>
      </w:pPr>
      <w:r>
        <w:t>IOPS or throughput exceeds effective hard capability and no cheaper safe alternative is found.</w:t>
      </w:r>
    </w:p>
    <w:p>
      <w:pPr>
        <w:pStyle w:val="ListBullet"/>
      </w:pPr>
      <w:r>
        <w:t>Unsupported SQL Server edition/version/class/storage combination.</w:t>
      </w:r>
    </w:p>
    <w:p>
      <w:pPr>
        <w:pStyle w:val="ListBullet"/>
      </w:pPr>
      <w:r>
        <w:t>Critical pricing resolution fails when savings are being published.</w:t>
      </w:r>
    </w:p>
    <w:p>
      <w:pPr>
        <w:pStyle w:val="ListBullet"/>
      </w:pPr>
      <w:r>
        <w:t>Critical source data is corrupt or insufficient to establish safety.</w:t>
      </w:r>
    </w:p>
    <w:p>
      <w:pPr>
        <w:pStyle w:val="Heading1"/>
      </w:pPr>
      <w:r>
        <w:t>11. Confidence and Risk</w:t>
      </w:r>
    </w:p>
    <w:p>
      <w:r>
        <w:t>Confidence reflects the quality of evidence, not the size of the savings. Risk reflects the consequence/uncertainty of implementing the change.</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0B1D3A"/>
          </w:tcPr>
          <w:p>
            <w:r/>
            <w:r>
              <w:rPr>
                <w:rFonts w:ascii="Aptos" w:hAnsi="Aptos"/>
                <w:b/>
                <w:color w:val="FFFFFF"/>
                <w:sz w:val="18"/>
              </w:rPr>
              <w:t>Confidence</w:t>
            </w:r>
          </w:p>
        </w:tc>
        <w:tc>
          <w:tcPr>
            <w:tcW w:type="dxa" w:w="7632"/>
            <w:vAlign w:val="center"/>
            <w:shd w:fill="0B1D3A"/>
          </w:tcPr>
          <w:p>
            <w:r/>
            <w:r>
              <w:rPr>
                <w:rFonts w:ascii="Aptos" w:hAnsi="Aptos"/>
                <w:b/>
                <w:color w:val="FFFFFF"/>
                <w:sz w:val="18"/>
              </w:rPr>
              <w:t>Typical conditions</w:t>
            </w:r>
          </w:p>
        </w:tc>
      </w:tr>
      <w:tr>
        <w:tc>
          <w:tcPr>
            <w:tcW w:type="dxa" w:w="3024"/>
            <w:vAlign w:val="center"/>
          </w:tcPr>
          <w:p>
            <w:r/>
            <w:r>
              <w:rPr>
                <w:rFonts w:ascii="Aptos" w:hAnsi="Aptos"/>
                <w:b w:val="0"/>
                <w:sz w:val="17"/>
              </w:rPr>
              <w:t>High</w:t>
            </w:r>
          </w:p>
        </w:tc>
        <w:tc>
          <w:tcPr>
            <w:tcW w:type="dxa" w:w="7632"/>
            <w:vAlign w:val="center"/>
          </w:tcPr>
          <w:p>
            <w:r/>
            <w:r>
              <w:rPr>
                <w:rFonts w:ascii="Aptos" w:hAnsi="Aptos"/>
                <w:b w:val="0"/>
                <w:sz w:val="17"/>
              </w:rPr>
              <w:t>Strong historical coverage; coherent CPU, memory and I/O signals; same-family or authoritative normalization; no critical missing metrics.</w:t>
            </w:r>
          </w:p>
        </w:tc>
      </w:tr>
      <w:tr>
        <w:tc>
          <w:tcPr>
            <w:tcW w:type="dxa" w:w="3024"/>
            <w:vAlign w:val="center"/>
          </w:tcPr>
          <w:p>
            <w:r/>
            <w:r>
              <w:rPr>
                <w:rFonts w:ascii="Aptos" w:hAnsi="Aptos"/>
                <w:b w:val="0"/>
                <w:sz w:val="17"/>
              </w:rPr>
              <w:t>Medium</w:t>
            </w:r>
          </w:p>
        </w:tc>
        <w:tc>
          <w:tcPr>
            <w:tcW w:type="dxa" w:w="7632"/>
            <w:vAlign w:val="center"/>
          </w:tcPr>
          <w:p>
            <w:r/>
            <w:r>
              <w:rPr>
                <w:rFonts w:ascii="Aptos" w:hAnsi="Aptos"/>
                <w:b w:val="0"/>
                <w:sz w:val="17"/>
              </w:rPr>
              <w:t>Some evidence missing, tight headroom, cross-family projection, material memory reduction, or recommendation requires customer validation.</w:t>
            </w:r>
          </w:p>
        </w:tc>
      </w:tr>
      <w:tr>
        <w:tc>
          <w:tcPr>
            <w:tcW w:type="dxa" w:w="3024"/>
            <w:vAlign w:val="center"/>
          </w:tcPr>
          <w:p>
            <w:r/>
            <w:r>
              <w:rPr>
                <w:rFonts w:ascii="Aptos" w:hAnsi="Aptos"/>
                <w:b w:val="0"/>
                <w:sz w:val="17"/>
              </w:rPr>
              <w:t>Low / no automatic recommendation</w:t>
            </w:r>
          </w:p>
        </w:tc>
        <w:tc>
          <w:tcPr>
            <w:tcW w:type="dxa" w:w="7632"/>
            <w:vAlign w:val="center"/>
          </w:tcPr>
          <w:p>
            <w:r/>
            <w:r>
              <w:rPr>
                <w:rFonts w:ascii="Aptos" w:hAnsi="Aptos"/>
                <w:b w:val="0"/>
                <w:sz w:val="17"/>
              </w:rPr>
              <w:t>Critical evidence missing, conflicting signals, or candidate cannot be proven safe.</w:t>
            </w:r>
          </w:p>
        </w:tc>
      </w:tr>
    </w:tbl>
    <w:p/>
    <w:p>
      <w:r>
        <w:t>Missing non-critical evidence should reduce confidence rather than automatically preserve the current instance. Missing evidence required to prove a hard safety condition must block the candidate.</w:t>
      </w:r>
    </w:p>
    <w:p>
      <w:pPr>
        <w:pStyle w:val="Heading1"/>
      </w:pPr>
      <w:r>
        <w:t>12. Per-Customer Post-Run Validation</w:t>
      </w:r>
    </w:p>
    <w:p>
      <w:r>
        <w:t>Every customer assessment must pass a second validation stage before the report is finalized:</w:t>
      </w:r>
    </w:p>
    <w:p>
      <w:pPr>
        <w:pStyle w:val="ListNumber"/>
      </w:pPr>
      <w:r>
        <w:t>Recommendation engine produces ranked candidates.</w:t>
      </w:r>
    </w:p>
    <w:p>
      <w:pPr>
        <w:pStyle w:val="ListNumber"/>
      </w:pPr>
      <w:r>
        <w:t>Guardrail engine independently replays all hard gates against the selected candidate.</w:t>
      </w:r>
    </w:p>
    <w:p>
      <w:pPr>
        <w:pStyle w:val="ListNumber"/>
      </w:pPr>
      <w:r>
        <w:t>Sanity checks compare the selected result with current configuration and neighboring candidates.</w:t>
      </w:r>
    </w:p>
    <w:p>
      <w:pPr>
        <w:pStyle w:val="ListNumber"/>
      </w:pPr>
      <w:r>
        <w:t>Abnormal savings, unexpected confidence increases, unsupported transitions, or contradictory evidence trigger WARN or BLOCK.</w:t>
      </w:r>
    </w:p>
    <w:p>
      <w:pPr>
        <w:pStyle w:val="ListNumber"/>
      </w:pPr>
      <w:r>
        <w:t>Only validated results are written to the customer report.</w:t>
      </w:r>
    </w:p>
    <w:p>
      <w:pPr>
        <w:pStyle w:val="Heading2"/>
      </w:pPr>
      <w:r>
        <w:t>12.1 Sanity checks</w:t>
      </w:r>
    </w:p>
    <w:p>
      <w:pPr>
        <w:pStyle w:val="ListBullet"/>
      </w:pPr>
      <w:r>
        <w:t>Savings unusually large relative to current spend.</w:t>
      </w:r>
    </w:p>
    <w:p>
      <w:pPr>
        <w:pStyle w:val="ListBullet"/>
      </w:pPr>
      <w:r>
        <w:t>Candidate skips several sizes yet has little observed headroom.</w:t>
      </w:r>
    </w:p>
    <w:p>
      <w:pPr>
        <w:pStyle w:val="ListBullet"/>
      </w:pPr>
      <w:r>
        <w:t>Confidence increases despite missing evidence.</w:t>
      </w:r>
    </w:p>
    <w:p>
      <w:pPr>
        <w:pStyle w:val="ListBullet"/>
      </w:pPr>
      <w:r>
        <w:t>A previously blocking metric disappears due to a collection gap.</w:t>
      </w:r>
    </w:p>
    <w:p>
      <w:pPr>
        <w:pStyle w:val="ListBullet"/>
      </w:pPr>
      <w:r>
        <w:t>Memory reduction occurs despite sustained pressure evidence.</w:t>
      </w:r>
    </w:p>
    <w:p>
      <w:pPr>
        <w:pStyle w:val="ListBullet"/>
      </w:pPr>
      <w:r>
        <w:t>I/O requirement exceeds candidate capability.</w:t>
      </w:r>
    </w:p>
    <w:p>
      <w:pPr>
        <w:pStyle w:val="ListBullet"/>
      </w:pPr>
      <w:r>
        <w:t>Recommendation changes edition or HA posture without explicit rule approval.</w:t>
      </w:r>
    </w:p>
    <w:p>
      <w:pPr>
        <w:pStyle w:val="Heading1"/>
      </w:pPr>
      <w:r>
        <w:t>13. Regression and Production Release Testing</w:t>
      </w:r>
    </w:p>
    <w:p>
      <w:r>
        <w:t>The same rule/guardrail framework should certify every production change. Maintain synthetic scenarios and sanitized golden customer datasets with approved expected outcomes.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0B1D3A"/>
          </w:tcPr>
          <w:p>
            <w:r/>
            <w:r>
              <w:rPr>
                <w:rFonts w:ascii="Aptos" w:hAnsi="Aptos"/>
                <w:b/>
                <w:color w:val="FFFFFF"/>
                <w:sz w:val="18"/>
              </w:rPr>
              <w:t>Test type</w:t>
            </w:r>
          </w:p>
        </w:tc>
        <w:tc>
          <w:tcPr>
            <w:tcW w:type="dxa" w:w="7488"/>
            <w:vAlign w:val="center"/>
            <w:shd w:fill="0B1D3A"/>
          </w:tcPr>
          <w:p>
            <w:r/>
            <w:r>
              <w:rPr>
                <w:rFonts w:ascii="Aptos" w:hAnsi="Aptos"/>
                <w:b/>
                <w:color w:val="FFFFFF"/>
                <w:sz w:val="18"/>
              </w:rPr>
              <w:t>Examples</w:t>
            </w:r>
          </w:p>
        </w:tc>
      </w:tr>
      <w:tr>
        <w:tc>
          <w:tcPr>
            <w:tcW w:type="dxa" w:w="3168"/>
            <w:vAlign w:val="center"/>
          </w:tcPr>
          <w:p>
            <w:r/>
            <w:r>
              <w:rPr>
                <w:rFonts w:ascii="Aptos" w:hAnsi="Aptos"/>
                <w:b w:val="0"/>
                <w:sz w:val="17"/>
              </w:rPr>
              <w:t>Exact assertions</w:t>
            </w:r>
          </w:p>
        </w:tc>
        <w:tc>
          <w:tcPr>
            <w:tcW w:type="dxa" w:w="7488"/>
            <w:vAlign w:val="center"/>
          </w:tcPr>
          <w:p>
            <w:r/>
            <w:r>
              <w:rPr>
                <w:rFonts w:ascii="Aptos" w:hAnsi="Aptos"/>
                <w:b w:val="0"/>
                <w:sz w:val="17"/>
              </w:rPr>
              <w:t>Recommended class, PASS/WARN/FAIL, risk, confidence band, hard-gate results.</w:t>
            </w:r>
          </w:p>
        </w:tc>
      </w:tr>
      <w:tr>
        <w:tc>
          <w:tcPr>
            <w:tcW w:type="dxa" w:w="3168"/>
            <w:vAlign w:val="center"/>
          </w:tcPr>
          <w:p>
            <w:r/>
            <w:r>
              <w:rPr>
                <w:rFonts w:ascii="Aptos" w:hAnsi="Aptos"/>
                <w:b w:val="0"/>
                <w:sz w:val="17"/>
              </w:rPr>
              <w:t>Tolerance assertions</w:t>
            </w:r>
          </w:p>
        </w:tc>
        <w:tc>
          <w:tcPr>
            <w:tcW w:type="dxa" w:w="7488"/>
            <w:vAlign w:val="center"/>
          </w:tcPr>
          <w:p>
            <w:r/>
            <w:r>
              <w:rPr>
                <w:rFonts w:ascii="Aptos" w:hAnsi="Aptos"/>
                <w:b w:val="0"/>
                <w:sz w:val="17"/>
              </w:rPr>
              <w:t>Projected percentiles, costs, savings, utilization values within approved tolerance.</w:t>
            </w:r>
          </w:p>
        </w:tc>
      </w:tr>
      <w:tr>
        <w:tc>
          <w:tcPr>
            <w:tcW w:type="dxa" w:w="3168"/>
            <w:vAlign w:val="center"/>
          </w:tcPr>
          <w:p>
            <w:r/>
            <w:r>
              <w:rPr>
                <w:rFonts w:ascii="Aptos" w:hAnsi="Aptos"/>
                <w:b w:val="0"/>
                <w:sz w:val="17"/>
              </w:rPr>
              <w:t>Must-not rules</w:t>
            </w:r>
          </w:p>
        </w:tc>
        <w:tc>
          <w:tcPr>
            <w:tcW w:type="dxa" w:w="7488"/>
            <w:vAlign w:val="center"/>
          </w:tcPr>
          <w:p>
            <w:r/>
            <w:r>
              <w:rPr>
                <w:rFonts w:ascii="Aptos" w:hAnsi="Aptos"/>
                <w:b w:val="0"/>
                <w:sz w:val="17"/>
              </w:rPr>
              <w:t>Known unsafe classes/families must never be recommended.</w:t>
            </w:r>
          </w:p>
        </w:tc>
      </w:tr>
      <w:tr>
        <w:tc>
          <w:tcPr>
            <w:tcW w:type="dxa" w:w="3168"/>
            <w:vAlign w:val="center"/>
          </w:tcPr>
          <w:p>
            <w:r/>
            <w:r>
              <w:rPr>
                <w:rFonts w:ascii="Aptos" w:hAnsi="Aptos"/>
                <w:b w:val="0"/>
                <w:sz w:val="17"/>
              </w:rPr>
              <w:t>Behavioral comparisons</w:t>
            </w:r>
          </w:p>
        </w:tc>
        <w:tc>
          <w:tcPr>
            <w:tcW w:type="dxa" w:w="7488"/>
            <w:vAlign w:val="center"/>
          </w:tcPr>
          <w:p>
            <w:r/>
            <w:r>
              <w:rPr>
                <w:rFonts w:ascii="Aptos" w:hAnsi="Aptos"/>
                <w:b w:val="0"/>
                <w:sz w:val="17"/>
              </w:rPr>
              <w:t>A code change must not make previously safe cases unexpectedly more aggressive without explicit review.</w:t>
            </w:r>
          </w:p>
        </w:tc>
      </w:tr>
    </w:tbl>
    <w:p/>
    <w:p>
      <w:pPr>
        <w:pStyle w:val="Heading2"/>
      </w:pPr>
      <w:r>
        <w:t>13.1 CI/CD release gate</w:t>
      </w:r>
    </w:p>
    <w:p>
      <w:pPr>
        <w:pStyle w:val="ListBullet"/>
      </w:pPr>
      <w:r>
        <w:t>Zero critical safety regressions.</w:t>
      </w:r>
    </w:p>
    <w:p>
      <w:pPr>
        <w:pStyle w:val="ListBullet"/>
      </w:pPr>
      <w:r>
        <w:t>Any changed recommendation requires an explainable diff.</w:t>
      </w:r>
    </w:p>
    <w:p>
      <w:pPr>
        <w:pStyle w:val="ListBullet"/>
      </w:pPr>
      <w:r>
        <w:t>Any newly more-aggressive recommendation requires explicit review.</w:t>
      </w:r>
    </w:p>
    <w:p>
      <w:pPr>
        <w:pStyle w:val="ListBullet"/>
      </w:pPr>
      <w:r>
        <w:t>Golden expected output may be updated only when the rule change is intentional and approved.</w:t>
      </w:r>
    </w:p>
    <w:p>
      <w:pPr>
        <w:pStyle w:val="ListBullet"/>
      </w:pPr>
      <w:r>
        <w:t>New production bugs become permanent regression fixtures.</w:t>
      </w:r>
    </w:p>
    <w:p>
      <w:pPr>
        <w:pStyle w:val="Heading1"/>
      </w:pPr>
      <w:r>
        <w:t>14. Representative Decision Examples</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0B1D3A"/>
          </w:tcPr>
          <w:p>
            <w:r/>
            <w:r>
              <w:rPr>
                <w:rFonts w:ascii="Aptos" w:hAnsi="Aptos"/>
                <w:b/>
                <w:color w:val="FFFFFF"/>
                <w:sz w:val="18"/>
              </w:rPr>
              <w:t>Scenario</w:t>
            </w:r>
          </w:p>
        </w:tc>
        <w:tc>
          <w:tcPr>
            <w:tcW w:type="dxa" w:w="6912"/>
            <w:vAlign w:val="center"/>
            <w:shd w:fill="0B1D3A"/>
          </w:tcPr>
          <w:p>
            <w:r/>
            <w:r>
              <w:rPr>
                <w:rFonts w:ascii="Aptos" w:hAnsi="Aptos"/>
                <w:b/>
                <w:color w:val="FFFFFF"/>
                <w:sz w:val="18"/>
              </w:rPr>
              <w:t>Expected Chodo behavior</w:t>
            </w:r>
          </w:p>
        </w:tc>
      </w:tr>
      <w:tr>
        <w:tc>
          <w:tcPr>
            <w:tcW w:type="dxa" w:w="3744"/>
            <w:vAlign w:val="center"/>
          </w:tcPr>
          <w:p>
            <w:r/>
            <w:r>
              <w:rPr>
                <w:rFonts w:ascii="Aptos" w:hAnsi="Aptos"/>
                <w:b w:val="0"/>
                <w:sz w:val="17"/>
              </w:rPr>
              <w:t>Low CPU, moderate memory, low I/O</w:t>
            </w:r>
          </w:p>
        </w:tc>
        <w:tc>
          <w:tcPr>
            <w:tcW w:type="dxa" w:w="6912"/>
            <w:vAlign w:val="center"/>
          </w:tcPr>
          <w:p>
            <w:r/>
            <w:r>
              <w:rPr>
                <w:rFonts w:ascii="Aptos" w:hAnsi="Aptos"/>
                <w:b w:val="0"/>
                <w:sz w:val="17"/>
              </w:rPr>
              <w:t>Evaluate multiple sizes down; choose lowest-cost candidate that passes all gates.</w:t>
            </w:r>
          </w:p>
        </w:tc>
      </w:tr>
      <w:tr>
        <w:tc>
          <w:tcPr>
            <w:tcW w:type="dxa" w:w="3744"/>
            <w:vAlign w:val="center"/>
          </w:tcPr>
          <w:p>
            <w:r/>
            <w:r>
              <w:rPr>
                <w:rFonts w:ascii="Aptos" w:hAnsi="Aptos"/>
                <w:b w:val="0"/>
                <w:sz w:val="17"/>
              </w:rPr>
              <w:t>Low CPU, high memory utilization</w:t>
            </w:r>
          </w:p>
        </w:tc>
        <w:tc>
          <w:tcPr>
            <w:tcW w:type="dxa" w:w="6912"/>
            <w:vAlign w:val="center"/>
          </w:tcPr>
          <w:p>
            <w:r/>
            <w:r>
              <w:rPr>
                <w:rFonts w:ascii="Aptos" w:hAnsi="Aptos"/>
                <w:b w:val="0"/>
                <w:sz w:val="17"/>
              </w:rPr>
              <w:t>Investigate working set; do not assume high utilization means RAM cannot be reduced.</w:t>
            </w:r>
          </w:p>
        </w:tc>
      </w:tr>
      <w:tr>
        <w:tc>
          <w:tcPr>
            <w:tcW w:type="dxa" w:w="3744"/>
            <w:vAlign w:val="center"/>
          </w:tcPr>
          <w:p>
            <w:r/>
            <w:r>
              <w:rPr>
                <w:rFonts w:ascii="Aptos" w:hAnsi="Aptos"/>
                <w:b w:val="0"/>
                <w:sz w:val="17"/>
              </w:rPr>
              <w:t>Low CPU, memory fits, I/O too high</w:t>
            </w:r>
          </w:p>
        </w:tc>
        <w:tc>
          <w:tcPr>
            <w:tcW w:type="dxa" w:w="6912"/>
            <w:vAlign w:val="center"/>
          </w:tcPr>
          <w:p>
            <w:r/>
            <w:r>
              <w:rPr>
                <w:rFonts w:ascii="Aptos" w:hAnsi="Aptos"/>
                <w:b w:val="0"/>
                <w:sz w:val="17"/>
              </w:rPr>
              <w:t>Investigate storage tuning / alternative family / NVMe tempdb path before rejecting.</w:t>
            </w:r>
          </w:p>
        </w:tc>
      </w:tr>
      <w:tr>
        <w:tc>
          <w:tcPr>
            <w:tcW w:type="dxa" w:w="3744"/>
            <w:vAlign w:val="center"/>
          </w:tcPr>
          <w:p>
            <w:r/>
            <w:r>
              <w:rPr>
                <w:rFonts w:ascii="Aptos" w:hAnsi="Aptos"/>
                <w:b w:val="0"/>
                <w:sz w:val="17"/>
              </w:rPr>
              <w:t>CPU fits 2 sizes down but P99 breaches ceiling</w:t>
            </w:r>
          </w:p>
        </w:tc>
        <w:tc>
          <w:tcPr>
            <w:tcW w:type="dxa" w:w="6912"/>
            <w:vAlign w:val="center"/>
          </w:tcPr>
          <w:p>
            <w:r/>
            <w:r>
              <w:rPr>
                <w:rFonts w:ascii="Aptos" w:hAnsi="Aptos"/>
                <w:b w:val="0"/>
                <w:sz w:val="17"/>
              </w:rPr>
              <w:t>Reject lower candidate; select next-cheapest survivor.</w:t>
            </w:r>
          </w:p>
        </w:tc>
      </w:tr>
      <w:tr>
        <w:tc>
          <w:tcPr>
            <w:tcW w:type="dxa" w:w="3744"/>
            <w:vAlign w:val="center"/>
          </w:tcPr>
          <w:p>
            <w:r/>
            <w:r>
              <w:rPr>
                <w:rFonts w:ascii="Aptos" w:hAnsi="Aptos"/>
                <w:b w:val="0"/>
                <w:sz w:val="17"/>
              </w:rPr>
              <w:t>RAM blocks size reduction but CPU is very low</w:t>
            </w:r>
          </w:p>
        </w:tc>
        <w:tc>
          <w:tcPr>
            <w:tcW w:type="dxa" w:w="6912"/>
            <w:vAlign w:val="center"/>
          </w:tcPr>
          <w:p>
            <w:r/>
            <w:r>
              <w:rPr>
                <w:rFonts w:ascii="Aptos" w:hAnsi="Aptos"/>
                <w:b w:val="0"/>
                <w:sz w:val="17"/>
              </w:rPr>
              <w:t>Evaluate Optimize CPU / same-memory lower-license alternative.</w:t>
            </w:r>
          </w:p>
        </w:tc>
      </w:tr>
      <w:tr>
        <w:tc>
          <w:tcPr>
            <w:tcW w:type="dxa" w:w="3744"/>
            <w:vAlign w:val="center"/>
          </w:tcPr>
          <w:p>
            <w:r/>
            <w:r>
              <w:rPr>
                <w:rFonts w:ascii="Aptos" w:hAnsi="Aptos"/>
                <w:b w:val="0"/>
                <w:sz w:val="17"/>
              </w:rPr>
              <w:t>No cheaper configuration passes</w:t>
            </w:r>
          </w:p>
        </w:tc>
        <w:tc>
          <w:tcPr>
            <w:tcW w:type="dxa" w:w="6912"/>
            <w:vAlign w:val="center"/>
          </w:tcPr>
          <w:p>
            <w:r/>
            <w:r>
              <w:rPr>
                <w:rFonts w:ascii="Aptos" w:hAnsi="Aptos"/>
                <w:b w:val="0"/>
                <w:sz w:val="17"/>
              </w:rPr>
              <w:t>Return No Safe Change. Do not force savings.</w:t>
            </w:r>
          </w:p>
        </w:tc>
      </w:tr>
    </w:tbl>
    <w:p/>
    <w:p>
      <w:pPr>
        <w:pStyle w:val="Heading1"/>
      </w:pPr>
      <w:r>
        <w:t>15. Reference Decision Logic</w:t>
      </w:r>
    </w:p>
    <w:p>
      <w:r>
        <w:rPr>
          <w:rFonts w:ascii="Consolas" w:hAnsi="Consolas"/>
          <w:sz w:val="18"/>
        </w:rPr>
        <w:t>1. Build all cheaper supported candidates.</w:t>
        <w:br/>
        <w:t>2. For each candidate:</w:t>
        <w:br/>
        <w:t xml:space="preserve">   a. Project SQL CPU per sample.</w:t>
        <w:br/>
        <w:t xml:space="preserve">   b. Build concurrent total CPU per sample.</w:t>
        <w:br/>
        <w:t xml:space="preserve">   c. Reject if CPU hard gates fail.</w:t>
        <w:br/>
        <w:t xml:space="preserve">   d. Check whether memory fits.</w:t>
        <w:br/>
        <w:t xml:space="preserve">   e. If memory is tight/high/ambiguous, run memory-pressure investigation.</w:t>
        <w:br/>
        <w:t xml:space="preserve">   f. Reject if required working set cannot be supported.</w:t>
        <w:br/>
        <w:t xml:space="preserve">   g. Check IOPS and throughput against effective instance + storage limits.</w:t>
        <w:br/>
        <w:t xml:space="preserve">   h. If I/O fails, explore cheaper storage/family/NVMe-tempdb alternatives and re-test.</w:t>
        <w:br/>
        <w:t xml:space="preserve">   i. Check network, storage capacity, edition/version, HA and platform support.</w:t>
        <w:br/>
        <w:t xml:space="preserve">   j. Calculate full cost and SQL Server licensing impact.</w:t>
        <w:br/>
        <w:t>3. Rank all surviving candidates by total cost.</w:t>
        <w:br/>
        <w:t>4. Select the lowest-cost survivor.</w:t>
        <w:br/>
        <w:t>5. Re-run the independent guardrail engine.</w:t>
        <w:br/>
        <w:t>6. PASS -&gt; release; WARN -&gt; validation required; FAIL -&gt; next candidate or No Safe Change.</w:t>
      </w:r>
    </w:p>
    <w:p>
      <w:pPr>
        <w:pStyle w:val="Heading1"/>
      </w:pPr>
      <w:r>
        <w:t>16. Implementation Checklist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0B1D3A"/>
          </w:tcPr>
          <w:p>
            <w:r/>
            <w:r>
              <w:rPr>
                <w:rFonts w:ascii="Aptos" w:hAnsi="Aptos"/>
                <w:b/>
                <w:color w:val="FFFFFF"/>
                <w:sz w:val="18"/>
              </w:rPr>
              <w:t>Area</w:t>
            </w:r>
          </w:p>
        </w:tc>
        <w:tc>
          <w:tcPr>
            <w:tcW w:type="dxa" w:w="7488"/>
            <w:vAlign w:val="center"/>
            <w:shd w:fill="0B1D3A"/>
          </w:tcPr>
          <w:p>
            <w:r/>
            <w:r>
              <w:rPr>
                <w:rFonts w:ascii="Aptos" w:hAnsi="Aptos"/>
                <w:b/>
                <w:color w:val="FFFFFF"/>
                <w:sz w:val="18"/>
              </w:rPr>
              <w:t>Required implementation</w:t>
            </w:r>
          </w:p>
        </w:tc>
      </w:tr>
      <w:tr>
        <w:tc>
          <w:tcPr>
            <w:tcW w:type="dxa" w:w="3168"/>
            <w:vAlign w:val="center"/>
          </w:tcPr>
          <w:p>
            <w:r/>
            <w:r>
              <w:rPr>
                <w:rFonts w:ascii="Aptos" w:hAnsi="Aptos"/>
                <w:b w:val="0"/>
                <w:sz w:val="17"/>
              </w:rPr>
              <w:t>Candidate catalog</w:t>
            </w:r>
          </w:p>
        </w:tc>
        <w:tc>
          <w:tcPr>
            <w:tcW w:type="dxa" w:w="7488"/>
            <w:vAlign w:val="center"/>
          </w:tcPr>
          <w:p>
            <w:r/>
            <w:r>
              <w:rPr>
                <w:rFonts w:ascii="Aptos" w:hAnsi="Aptos"/>
                <w:b w:val="0"/>
                <w:sz w:val="17"/>
              </w:rPr>
              <w:t>Authoritative supported SQL Server classes, vCPU, RAM, EBS/network capabilities, storage options, edition/version support.</w:t>
            </w:r>
          </w:p>
        </w:tc>
      </w:tr>
      <w:tr>
        <w:tc>
          <w:tcPr>
            <w:tcW w:type="dxa" w:w="3168"/>
            <w:vAlign w:val="center"/>
          </w:tcPr>
          <w:p>
            <w:r/>
            <w:r>
              <w:rPr>
                <w:rFonts w:ascii="Aptos" w:hAnsi="Aptos"/>
                <w:b w:val="0"/>
                <w:sz w:val="17"/>
              </w:rPr>
              <w:t>CPU module</w:t>
            </w:r>
          </w:p>
        </w:tc>
        <w:tc>
          <w:tcPr>
            <w:tcW w:type="dxa" w:w="7488"/>
            <w:vAlign w:val="center"/>
          </w:tcPr>
          <w:p>
            <w:r/>
            <w:r>
              <w:rPr>
                <w:rFonts w:ascii="Aptos" w:hAnsi="Aptos"/>
                <w:b w:val="0"/>
                <w:sz w:val="17"/>
              </w:rPr>
              <w:t>Sample-level SQL CPU projection; concurrent total CPU calculation; P95/P99 after projection.</w:t>
            </w:r>
          </w:p>
        </w:tc>
      </w:tr>
      <w:tr>
        <w:tc>
          <w:tcPr>
            <w:tcW w:type="dxa" w:w="3168"/>
            <w:vAlign w:val="center"/>
          </w:tcPr>
          <w:p>
            <w:r/>
            <w:r>
              <w:rPr>
                <w:rFonts w:ascii="Aptos" w:hAnsi="Aptos"/>
                <w:b w:val="0"/>
                <w:sz w:val="17"/>
              </w:rPr>
              <w:t>Memory module</w:t>
            </w:r>
          </w:p>
        </w:tc>
        <w:tc>
          <w:tcPr>
            <w:tcW w:type="dxa" w:w="7488"/>
            <w:vAlign w:val="center"/>
          </w:tcPr>
          <w:p>
            <w:r/>
            <w:r>
              <w:rPr>
                <w:rFonts w:ascii="Aptos" w:hAnsi="Aptos"/>
                <w:b w:val="0"/>
                <w:sz w:val="17"/>
              </w:rPr>
              <w:t>Fit check + pressure investigation + ReadIOPS coupling + missing-evidence handling.</w:t>
            </w:r>
          </w:p>
        </w:tc>
      </w:tr>
      <w:tr>
        <w:tc>
          <w:tcPr>
            <w:tcW w:type="dxa" w:w="3168"/>
            <w:vAlign w:val="center"/>
          </w:tcPr>
          <w:p>
            <w:r/>
            <w:r>
              <w:rPr>
                <w:rFonts w:ascii="Aptos" w:hAnsi="Aptos"/>
                <w:b w:val="0"/>
                <w:sz w:val="17"/>
              </w:rPr>
              <w:t>I/O module</w:t>
            </w:r>
          </w:p>
        </w:tc>
        <w:tc>
          <w:tcPr>
            <w:tcW w:type="dxa" w:w="7488"/>
            <w:vAlign w:val="center"/>
          </w:tcPr>
          <w:p>
            <w:r/>
            <w:r>
              <w:rPr>
                <w:rFonts w:ascii="Aptos" w:hAnsi="Aptos"/>
                <w:b w:val="0"/>
                <w:sz w:val="17"/>
              </w:rPr>
              <w:t>Effective IOPS/throughput capability + storage/family/NVMe investigation.</w:t>
            </w:r>
          </w:p>
        </w:tc>
      </w:tr>
      <w:tr>
        <w:tc>
          <w:tcPr>
            <w:tcW w:type="dxa" w:w="3168"/>
            <w:vAlign w:val="center"/>
          </w:tcPr>
          <w:p>
            <w:r/>
            <w:r>
              <w:rPr>
                <w:rFonts w:ascii="Aptos" w:hAnsi="Aptos"/>
                <w:b w:val="0"/>
                <w:sz w:val="17"/>
              </w:rPr>
              <w:t>Cost module</w:t>
            </w:r>
          </w:p>
        </w:tc>
        <w:tc>
          <w:tcPr>
            <w:tcW w:type="dxa" w:w="7488"/>
            <w:vAlign w:val="center"/>
          </w:tcPr>
          <w:p>
            <w:r/>
            <w:r>
              <w:rPr>
                <w:rFonts w:ascii="Aptos" w:hAnsi="Aptos"/>
                <w:b w:val="0"/>
                <w:sz w:val="17"/>
              </w:rPr>
              <w:t>Compute + licensing + storage + HA + applicable commitment economics.</w:t>
            </w:r>
          </w:p>
        </w:tc>
      </w:tr>
      <w:tr>
        <w:tc>
          <w:tcPr>
            <w:tcW w:type="dxa" w:w="3168"/>
            <w:vAlign w:val="center"/>
          </w:tcPr>
          <w:p>
            <w:r/>
            <w:r>
              <w:rPr>
                <w:rFonts w:ascii="Aptos" w:hAnsi="Aptos"/>
                <w:b w:val="0"/>
                <w:sz w:val="17"/>
              </w:rPr>
              <w:t>Guardrail module</w:t>
            </w:r>
          </w:p>
        </w:tc>
        <w:tc>
          <w:tcPr>
            <w:tcW w:type="dxa" w:w="7488"/>
            <w:vAlign w:val="center"/>
          </w:tcPr>
          <w:p>
            <w:r/>
            <w:r>
              <w:rPr>
                <w:rFonts w:ascii="Aptos" w:hAnsi="Aptos"/>
                <w:b w:val="0"/>
                <w:sz w:val="17"/>
              </w:rPr>
              <w:t>Independent PASS/WARN/FAIL replay with structured evidence.</w:t>
            </w:r>
          </w:p>
        </w:tc>
      </w:tr>
      <w:tr>
        <w:tc>
          <w:tcPr>
            <w:tcW w:type="dxa" w:w="3168"/>
            <w:vAlign w:val="center"/>
          </w:tcPr>
          <w:p>
            <w:r/>
            <w:r>
              <w:rPr>
                <w:rFonts w:ascii="Aptos" w:hAnsi="Aptos"/>
                <w:b w:val="0"/>
                <w:sz w:val="17"/>
              </w:rPr>
              <w:t>Regression harness</w:t>
            </w:r>
          </w:p>
        </w:tc>
        <w:tc>
          <w:tcPr>
            <w:tcW w:type="dxa" w:w="7488"/>
            <w:vAlign w:val="center"/>
          </w:tcPr>
          <w:p>
            <w:r/>
            <w:r>
              <w:rPr>
                <w:rFonts w:ascii="Aptos" w:hAnsi="Aptos"/>
                <w:b w:val="0"/>
                <w:sz w:val="17"/>
              </w:rPr>
              <w:t>Golden datasets, synthetic fixtures, must-not recommendations, CI/CD block rules.</w:t>
            </w:r>
          </w:p>
        </w:tc>
      </w:tr>
      <w:tr>
        <w:tc>
          <w:tcPr>
            <w:tcW w:type="dxa" w:w="3168"/>
            <w:vAlign w:val="center"/>
          </w:tcPr>
          <w:p>
            <w:r/>
            <w:r>
              <w:rPr>
                <w:rFonts w:ascii="Aptos" w:hAnsi="Aptos"/>
                <w:b w:val="0"/>
                <w:sz w:val="17"/>
              </w:rPr>
              <w:t>Reporting</w:t>
            </w:r>
          </w:p>
        </w:tc>
        <w:tc>
          <w:tcPr>
            <w:tcW w:type="dxa" w:w="7488"/>
            <w:vAlign w:val="center"/>
          </w:tcPr>
          <w:p>
            <w:r/>
            <w:r>
              <w:rPr>
                <w:rFonts w:ascii="Aptos" w:hAnsi="Aptos"/>
                <w:b w:val="0"/>
                <w:sz w:val="17"/>
              </w:rPr>
              <w:t>Expose recommendation, savings, reason, confidence, risk, and blockers in plain language.</w:t>
            </w:r>
          </w:p>
        </w:tc>
      </w:tr>
    </w:tbl>
    <w:p/>
    <w:p>
      <w:pPr>
        <w:pStyle w:val="Heading1"/>
      </w:pPr>
      <w:r>
        <w:t>17. Platform Note: NVMe on RDS SQL Server</w:t>
      </w:r>
    </w:p>
    <w:p>
      <w:r>
        <w:t>Amazon RDS for SQL Server supports local NVMe instance store for tempdb on selected DB instance families. Chodo may consider these options when tempdb I/O is the limiting factor, but persistent user database and transaction-log files remain on RDS persistent storage. The engine must use current AWS orderable-instance metadata rather than hard-coding a permanent list of classes.</w:t>
      </w:r>
    </w:p>
    <w:p>
      <w:r>
        <w:t>Reference: AWS RDS User Guide — Instance store support for the tempdb database on Amazon RDS for SQL Server.</w:t>
      </w:r>
    </w:p>
    <w:p>
      <w:pPr>
        <w:pStyle w:val="Heading1"/>
      </w:pPr>
      <w:r>
        <w:t>18. Final Rule</w:t>
      </w:r>
    </w:p>
    <w:p>
      <w:pPr>
        <w:pStyle w:val="Callout"/>
      </w:pPr>
      <w:r>
        <w:t>Chodo should search aggressively for cost and SQL Server license savings, but only recommend the cheapest configuration that can be proven safe by candidate-specific CPU, memory, I/O, platform, and data-quality guardrails.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D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2F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F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1D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0B1D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