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7365D"/>
          <w:sz w:val="76"/>
        </w:rPr>
        <w:t>KENTRA</w:t>
      </w:r>
    </w:p>
    <w:p>
      <w:pPr>
        <w:jc w:val="center"/>
      </w:pPr>
      <w:r>
        <w:rPr>
          <w:b/>
          <w:color w:val="2F75B5"/>
          <w:sz w:val="38"/>
        </w:rPr>
        <w:t>RDS for SQL Server Instance Optimization Engine</w:t>
      </w:r>
    </w:p>
    <w:p>
      <w:pPr>
        <w:jc w:val="center"/>
      </w:pPr>
      <w:r>
        <w:rPr>
          <w:sz w:val="25"/>
        </w:rPr>
        <w:t>Deep Industry Verification &amp; Revised Technical Specification — v1.1</w:t>
      </w:r>
    </w:p>
    <w:tbl>
      <w:tblPr>
        <w:tblStyle w:val="TableGrid"/>
        <w:tblW w:type="auto" w:w="0"/>
        <w:tblLook w:firstColumn="1" w:firstRow="1" w:lastColumn="0" w:lastRow="0" w:noHBand="0" w:noVBand="1" w:val="04A0"/>
      </w:tblPr>
      <w:tblGrid>
        <w:gridCol w:w="10224"/>
      </w:tblGrid>
      <w:tr>
        <w:tc>
          <w:tcPr>
            <w:tcW w:type="dxa" w:w="10224"/>
            <w:shd w:fill="E2F0D9"/>
          </w:tcPr>
          <w:p>
            <w:pPr>
              <w:spacing w:after="0"/>
            </w:pPr>
            <w:r>
              <w:rPr>
                <w:b/>
                <w:color w:val="17365D"/>
                <w:sz w:val="20"/>
              </w:rPr>
              <w:t>Verification verdict</w:t>
              <w:br/>
            </w:r>
            <w:r>
              <w:rPr>
                <w:sz w:val="18"/>
              </w:rPr>
              <w:t>The core Kentra design is technically strong and aligned with AWS and Microsoft guidance. The CPU target is directly supported by AWS RDS SQL Server best-practice material. Before production use, the engine should incorporate six refinements identified in this review: SQL Server-specific visible vCPU metadata, baseline-vs-burst instance I/O, memory→physical-read coupling, dynamic candidate availability, Standard Edition scale limits, and a minimum evidence window.</w:t>
            </w:r>
          </w:p>
        </w:tc>
      </w:tr>
    </w:tbl>
    <w:p>
      <w:pPr>
        <w:spacing w:after="0"/>
      </w:pPr>
    </w:p>
    <w:p>
      <w:r>
        <w:br w:type="page"/>
      </w:r>
    </w:p>
    <w:p>
      <w:pPr>
        <w:pStyle w:val="Heading1"/>
      </w:pPr>
      <w:r>
        <w:t>1. What Was Verified</w:t>
      </w:r>
    </w:p>
    <w:p>
      <w:r>
        <w:t>This review validates the Kentra V1 system as a complete RDS for SQL Server compute-footprint optimizer rather than validating isolated formulas. The goal remains to reduce licensed/allocated vCPU safely for an approximately six-month operating horizon. Storage provisioning and detailed pricing are outside this phase.</w:t>
      </w:r>
    </w:p>
    <w:tbl>
      <w:tblPr>
        <w:tblStyle w:val="TableGrid"/>
        <w:tblW w:type="auto" w:w="0"/>
        <w:jc w:val="center"/>
        <w:tblLook w:firstColumn="1" w:firstRow="1" w:lastColumn="0" w:lastRow="0" w:noHBand="0" w:noVBand="1" w:val="04A0"/>
      </w:tblPr>
      <w:tblGrid>
        <w:gridCol w:w="3408"/>
        <w:gridCol w:w="3408"/>
        <w:gridCol w:w="3408"/>
      </w:tblGrid>
      <w:tr>
        <w:tc>
          <w:tcPr>
            <w:tcW w:type="dxa" w:w="1800"/>
            <w:shd w:fill="17365D"/>
          </w:tcPr>
          <w:p>
            <w:r/>
            <w:r>
              <w:rPr>
                <w:b/>
                <w:color w:val="FFFFFF"/>
                <w:sz w:val="17"/>
              </w:rPr>
              <w:t>Component</w:t>
            </w:r>
          </w:p>
        </w:tc>
        <w:tc>
          <w:tcPr>
            <w:tcW w:type="dxa" w:w="3600"/>
            <w:shd w:fill="17365D"/>
          </w:tcPr>
          <w:p>
            <w:r/>
            <w:r>
              <w:rPr>
                <w:b/>
                <w:color w:val="FFFFFF"/>
                <w:sz w:val="17"/>
              </w:rPr>
              <w:t>V1 conclusion</w:t>
            </w:r>
          </w:p>
        </w:tc>
        <w:tc>
          <w:tcPr>
            <w:tcW w:type="dxa" w:w="4824"/>
            <w:shd w:fill="17365D"/>
          </w:tcPr>
          <w:p>
            <w:r/>
            <w:r>
              <w:rPr>
                <w:b/>
                <w:color w:val="FFFFFF"/>
                <w:sz w:val="17"/>
              </w:rPr>
              <w:t>Industry-verification result</w:t>
            </w:r>
          </w:p>
        </w:tc>
      </w:tr>
      <w:tr>
        <w:tc>
          <w:tcPr>
            <w:tcW w:type="dxa" w:w="1800"/>
            <w:vAlign w:val="center"/>
          </w:tcPr>
          <w:p>
            <w:pPr>
              <w:spacing w:after="0"/>
            </w:pPr>
            <w:r/>
            <w:r>
              <w:rPr>
                <w:sz w:val="16"/>
              </w:rPr>
              <w:t>CPU</w:t>
            </w:r>
          </w:p>
        </w:tc>
        <w:tc>
          <w:tcPr>
            <w:tcW w:type="dxa" w:w="3600"/>
            <w:vAlign w:val="center"/>
          </w:tcPr>
          <w:p>
            <w:pPr>
              <w:spacing w:after="0"/>
            </w:pPr>
            <w:r/>
            <w:r>
              <w:rPr>
                <w:sz w:val="16"/>
              </w:rPr>
              <w:t>SQL CPU drives reduction; total CPU is safety gate; P95 target ~60–70%.</w:t>
            </w:r>
          </w:p>
        </w:tc>
        <w:tc>
          <w:tcPr>
            <w:tcW w:type="dxa" w:w="4824"/>
            <w:vAlign w:val="center"/>
          </w:tcPr>
          <w:p>
            <w:pPr>
              <w:spacing w:after="0"/>
            </w:pPr>
            <w:r/>
            <w:r>
              <w:rPr>
                <w:sz w:val="16"/>
              </w:rPr>
              <w:t>STRONG. AWS RDS SQL Server guidance explicitly targets 65–70% CPU at the 95th percentile. Keep this policy, with the vCPU metadata correction below.</w:t>
            </w:r>
          </w:p>
        </w:tc>
      </w:tr>
      <w:tr>
        <w:tc>
          <w:tcPr>
            <w:tcW w:type="dxa" w:w="1800"/>
            <w:shd w:fill="F8FAFC"/>
            <w:vAlign w:val="center"/>
          </w:tcPr>
          <w:p>
            <w:pPr>
              <w:spacing w:after="0"/>
            </w:pPr>
            <w:r/>
            <w:r>
              <w:rPr>
                <w:sz w:val="16"/>
              </w:rPr>
              <w:t>Memory</w:t>
            </w:r>
          </w:p>
        </w:tc>
        <w:tc>
          <w:tcPr>
            <w:tcW w:type="dxa" w:w="3600"/>
            <w:shd w:fill="F8FAFC"/>
            <w:vAlign w:val="center"/>
          </w:tcPr>
          <w:p>
            <w:pPr>
              <w:spacing w:after="0"/>
            </w:pPr>
            <w:r/>
            <w:r>
              <w:rPr>
                <w:sz w:val="16"/>
              </w:rPr>
              <w:t>Pressure/working-set based; do not use committed memory alone.</w:t>
            </w:r>
          </w:p>
        </w:tc>
        <w:tc>
          <w:tcPr>
            <w:tcW w:type="dxa" w:w="4824"/>
            <w:shd w:fill="F8FAFC"/>
            <w:vAlign w:val="center"/>
          </w:tcPr>
          <w:p>
            <w:pPr>
              <w:spacing w:after="0"/>
            </w:pPr>
            <w:r/>
            <w:r>
              <w:rPr>
                <w:sz w:val="16"/>
              </w:rPr>
              <w:t>STRONG. Microsoft confirms SQL Server intentionally grows cache and committed memory is not equivalent to irreducible RAM demand.</w:t>
            </w:r>
          </w:p>
        </w:tc>
      </w:tr>
      <w:tr>
        <w:tc>
          <w:tcPr>
            <w:tcW w:type="dxa" w:w="1800"/>
            <w:vAlign w:val="center"/>
          </w:tcPr>
          <w:p>
            <w:pPr>
              <w:spacing w:after="0"/>
            </w:pPr>
            <w:r/>
            <w:r>
              <w:rPr>
                <w:sz w:val="16"/>
              </w:rPr>
              <w:t>IOPS/throughput</w:t>
            </w:r>
          </w:p>
        </w:tc>
        <w:tc>
          <w:tcPr>
            <w:tcW w:type="dxa" w:w="3600"/>
            <w:vAlign w:val="center"/>
          </w:tcPr>
          <w:p>
            <w:pPr>
              <w:spacing w:after="0"/>
            </w:pPr>
            <w:r/>
            <w:r>
              <w:rPr>
                <w:sz w:val="16"/>
              </w:rPr>
              <w:t>Aggregate per database by sample; P95 sizing, P99 safety; validate target instance.</w:t>
            </w:r>
          </w:p>
        </w:tc>
        <w:tc>
          <w:tcPr>
            <w:tcW w:type="dxa" w:w="4824"/>
            <w:vAlign w:val="center"/>
          </w:tcPr>
          <w:p>
            <w:pPr>
              <w:spacing w:after="0"/>
            </w:pPr>
            <w:r/>
            <w:r>
              <w:rPr>
                <w:sz w:val="16"/>
              </w:rPr>
              <w:t>STRONG, but must use baseline and maximum/burst capability rather than maximum only.</w:t>
            </w:r>
          </w:p>
        </w:tc>
      </w:tr>
      <w:tr>
        <w:tc>
          <w:tcPr>
            <w:tcW w:type="dxa" w:w="1800"/>
            <w:shd w:fill="F8FAFC"/>
            <w:vAlign w:val="center"/>
          </w:tcPr>
          <w:p>
            <w:pPr>
              <w:spacing w:after="0"/>
            </w:pPr>
            <w:r/>
            <w:r>
              <w:rPr>
                <w:sz w:val="16"/>
              </w:rPr>
              <w:t>tempdb/NVMe</w:t>
            </w:r>
          </w:p>
        </w:tc>
        <w:tc>
          <w:tcPr>
            <w:tcW w:type="dxa" w:w="3600"/>
            <w:shd w:fill="F8FAFC"/>
            <w:vAlign w:val="center"/>
          </w:tcPr>
          <w:p>
            <w:pPr>
              <w:spacing w:after="0"/>
            </w:pPr>
            <w:r/>
            <w:r>
              <w:rPr>
                <w:sz w:val="16"/>
              </w:rPr>
              <w:t>Candidate-aware remapping in both directions.</w:t>
            </w:r>
          </w:p>
        </w:tc>
        <w:tc>
          <w:tcPr>
            <w:tcW w:type="dxa" w:w="4824"/>
            <w:shd w:fill="F8FAFC"/>
            <w:vAlign w:val="center"/>
          </w:tcPr>
          <w:p>
            <w:pPr>
              <w:spacing w:after="0"/>
            </w:pPr>
            <w:r/>
            <w:r>
              <w:rPr>
                <w:sz w:val="16"/>
              </w:rPr>
              <w:t>STRONG. AWS explicitly places tempdb on local NVMe for supported RDS SQL Server instance-store classes.</w:t>
            </w:r>
          </w:p>
        </w:tc>
      </w:tr>
      <w:tr>
        <w:tc>
          <w:tcPr>
            <w:tcW w:type="dxa" w:w="1800"/>
            <w:vAlign w:val="center"/>
          </w:tcPr>
          <w:p>
            <w:pPr>
              <w:spacing w:after="0"/>
            </w:pPr>
            <w:r/>
            <w:r>
              <w:rPr>
                <w:sz w:val="16"/>
              </w:rPr>
              <w:t>Enterprise→Standard</w:t>
            </w:r>
          </w:p>
        </w:tc>
        <w:tc>
          <w:tcPr>
            <w:tcW w:type="dxa" w:w="3600"/>
            <w:vAlign w:val="center"/>
          </w:tcPr>
          <w:p>
            <w:pPr>
              <w:spacing w:after="0"/>
            </w:pPr>
            <w:r/>
            <w:r>
              <w:rPr>
                <w:sz w:val="16"/>
              </w:rPr>
              <w:t>Feature compatibility gate.</w:t>
            </w:r>
          </w:p>
        </w:tc>
        <w:tc>
          <w:tcPr>
            <w:tcW w:type="dxa" w:w="4824"/>
            <w:vAlign w:val="center"/>
          </w:tcPr>
          <w:p>
            <w:pPr>
              <w:spacing w:after="0"/>
            </w:pPr>
            <w:r/>
            <w:r>
              <w:rPr>
                <w:sz w:val="16"/>
              </w:rPr>
              <w:t>VALID but incomplete. Must also enforce version-specific Standard Edition CPU/memory scale limits and migration mechanics.</w:t>
            </w:r>
          </w:p>
        </w:tc>
      </w:tr>
      <w:tr>
        <w:tc>
          <w:tcPr>
            <w:tcW w:type="dxa" w:w="1800"/>
            <w:shd w:fill="F8FAFC"/>
            <w:vAlign w:val="center"/>
          </w:tcPr>
          <w:p>
            <w:pPr>
              <w:spacing w:after="0"/>
            </w:pPr>
            <w:r/>
            <w:r>
              <w:rPr>
                <w:sz w:val="16"/>
              </w:rPr>
              <w:t>6-month horizon</w:t>
            </w:r>
          </w:p>
        </w:tc>
        <w:tc>
          <w:tcPr>
            <w:tcW w:type="dxa" w:w="3600"/>
            <w:shd w:fill="F8FAFC"/>
            <w:vAlign w:val="center"/>
          </w:tcPr>
          <w:p>
            <w:pPr>
              <w:spacing w:after="0"/>
            </w:pPr>
            <w:r/>
            <w:r>
              <w:rPr>
                <w:sz w:val="16"/>
              </w:rPr>
              <w:t>Optimization-oriented; scale back up if growth occurs.</w:t>
            </w:r>
          </w:p>
        </w:tc>
        <w:tc>
          <w:tcPr>
            <w:tcW w:type="dxa" w:w="4824"/>
            <w:shd w:fill="F8FAFC"/>
            <w:vAlign w:val="center"/>
          </w:tcPr>
          <w:p>
            <w:pPr>
              <w:spacing w:after="0"/>
            </w:pPr>
            <w:r/>
            <w:r>
              <w:rPr>
                <w:sz w:val="16"/>
              </w:rPr>
              <w:t>VALID. AWS rightsizing guidance emphasizes recent workload evidence and recurrent reevaluation rather than long-term overprovisioning.</w:t>
            </w:r>
          </w:p>
        </w:tc>
      </w:tr>
    </w:tbl>
    <w:p>
      <w:pPr>
        <w:spacing w:after="0"/>
      </w:pPr>
    </w:p>
    <w:p>
      <w:pPr>
        <w:pStyle w:val="Heading1"/>
      </w:pPr>
      <w:r>
        <w:t>2. Industry Positioning</w:t>
      </w:r>
    </w:p>
    <w:p>
      <w:r>
        <w:t>Kentra is addressing a real gap. AWS Compute Optimizer currently documents RDS DB instance rightsizing support for RDS MySQL, RDS PostgreSQL and Aurora, not RDS for SQL Server. AWS's 2024 launch announcement likewise names MySQL and PostgreSQL. For RDS SQL Server, customers still need SQL-aware analysis across licensing, memory behavior, instance I/O, tempdb placement, and edition constraints.</w:t>
      </w:r>
    </w:p>
    <w:tbl>
      <w:tblPr>
        <w:tblStyle w:val="TableGrid"/>
        <w:tblW w:type="auto" w:w="0"/>
        <w:tblLook w:firstColumn="1" w:firstRow="1" w:lastColumn="0" w:lastRow="0" w:noHBand="0" w:noVBand="1" w:val="04A0"/>
      </w:tblPr>
      <w:tblGrid>
        <w:gridCol w:w="10224"/>
      </w:tblGrid>
      <w:tr>
        <w:tc>
          <w:tcPr>
            <w:tcW w:type="dxa" w:w="10224"/>
            <w:shd w:fill="F3F6F8"/>
          </w:tcPr>
          <w:p>
            <w:pPr>
              <w:spacing w:after="0"/>
            </w:pPr>
            <w:r>
              <w:rPr>
                <w:b/>
                <w:color w:val="17365D"/>
                <w:sz w:val="20"/>
              </w:rPr>
              <w:t>Why the design is differentiated</w:t>
              <w:br/>
            </w:r>
            <w:r>
              <w:rPr>
                <w:sz w:val="18"/>
              </w:rPr>
              <w:t>Generic RDS utilization alone cannot correctly reason about SQL Server licensing, Enterprise→Standard eligibility, memory grants, SQL buffer cache behavior, or candidate-specific tempdb NVMe placement. Those are exactly the areas Kentra is modeling.</w:t>
            </w:r>
          </w:p>
        </w:tc>
      </w:tr>
    </w:tbl>
    <w:p>
      <w:pPr>
        <w:spacing w:after="0"/>
      </w:pPr>
    </w:p>
    <w:p>
      <w:pPr>
        <w:pStyle w:val="Heading1"/>
      </w:pPr>
      <w:r>
        <w:t>3. CPU — Verified and Refined</w:t>
      </w:r>
    </w:p>
    <w:p>
      <w:pPr>
        <w:pStyle w:val="Heading2"/>
      </w:pPr>
      <w:r>
        <w:t>3.1 Keep the locked CPU principle</w:t>
      </w:r>
    </w:p>
    <w:p>
      <w:r>
        <w:t>For a SQL Server licensing/compute-footprint optimizer, SQLProcessUtilization is the right primary workload signal. Host/Other CPU remains a hard safety gate. For same-hardware/same-family size reduction, sample-level linear projection is a defensible approximation.</w:t>
      </w:r>
    </w:p>
    <w:p>
      <w:pPr>
        <w:spacing w:after="60"/>
        <w:ind w:left="288"/>
      </w:pPr>
      <w:r>
        <w:rPr>
          <w:rFonts w:ascii="Consolas" w:hAnsi="Consolas"/>
          <w:color w:val="282828"/>
          <w:sz w:val="17"/>
        </w:rPr>
        <w:t>SQLCoreDemand(sample) = Current_SQL_visible_vCPU × SQLProcessUtilization(sample) / 100</w:t>
      </w:r>
    </w:p>
    <w:p>
      <w:pPr>
        <w:spacing w:after="60"/>
        <w:ind w:left="288"/>
      </w:pPr>
      <w:r>
        <w:rPr>
          <w:rFonts w:ascii="Consolas" w:hAnsi="Consolas"/>
          <w:color w:val="282828"/>
          <w:sz w:val="17"/>
        </w:rPr>
        <w:t>ProjectedSQLCPU(sample) = SQLCoreDemand(sample) / Candidate_SQL_visible_vCPU × 100</w:t>
      </w:r>
    </w:p>
    <w:p>
      <w:pPr>
        <w:spacing w:after="60"/>
        <w:ind w:left="288"/>
      </w:pPr>
      <w:r>
        <w:rPr>
          <w:rFonts w:ascii="Consolas" w:hAnsi="Consolas"/>
          <w:color w:val="282828"/>
          <w:sz w:val="17"/>
        </w:rPr>
        <w:t>ProjectedTotalCPU(sample) = [SQLCoreDemand + OtherCoreDemand] / Candidate_SQL_visible_vCPU × 100</w:t>
      </w:r>
    </w:p>
    <w:p>
      <w:r>
        <w:t>Calculate projections per sample before P95/P99. Do not sum independent percentiles.</w:t>
      </w:r>
    </w:p>
    <w:p>
      <w:pPr>
        <w:pStyle w:val="Heading2"/>
      </w:pPr>
      <w:r>
        <w:t>3.2 CPU threshold</w:t>
      </w:r>
    </w:p>
    <w:tbl>
      <w:tblPr>
        <w:tblStyle w:val="TableGrid"/>
        <w:tblW w:type="auto" w:w="0"/>
        <w:tblLook w:firstColumn="1" w:firstRow="1" w:lastColumn="0" w:lastRow="0" w:noHBand="0" w:noVBand="1" w:val="04A0"/>
      </w:tblPr>
      <w:tblGrid>
        <w:gridCol w:w="10224"/>
      </w:tblGrid>
      <w:tr>
        <w:tc>
          <w:tcPr>
            <w:tcW w:type="dxa" w:w="10224"/>
            <w:shd w:fill="E2F0D9"/>
          </w:tcPr>
          <w:p>
            <w:pPr>
              <w:spacing w:after="0"/>
            </w:pPr>
            <w:r>
              <w:rPr>
                <w:b/>
                <w:color w:val="17365D"/>
                <w:sz w:val="20"/>
              </w:rPr>
              <w:t>LOCKED</w:t>
              <w:br/>
            </w:r>
            <w:r>
              <w:rPr>
                <w:sz w:val="18"/>
              </w:rPr>
              <w:t>Normal optimization target: projected CPU P95 up to approximately 65–70%. P99 is a burst/risk gate, not the primary sizing point. This exactly matches AWS RDS SQL Server cost-management guidance that recommends targeting RDS instance CPU utilization up to 65–70% at P95.</w:t>
            </w:r>
          </w:p>
        </w:tc>
      </w:tr>
    </w:tbl>
    <w:p>
      <w:pPr>
        <w:spacing w:after="0"/>
      </w:pPr>
    </w:p>
    <w:p>
      <w:pPr>
        <w:pStyle w:val="Heading2"/>
      </w:pPr>
      <w:r>
        <w:t>3.3 Required correction: use SQL Server-specific visible vCPU counts</w:t>
      </w:r>
    </w:p>
    <w:p>
      <w:r>
        <w:t>Do not populate the candidate catalog from generic RDS/EC2 vCPU values alone. On newer RDS for SQL Server families, the SQL-visible/default vCPU count can differ because RDS disables hyper-threading or cores for licensing optimization. AWS's Optimize CPU support table is the authoritative source for default and valid CPU configurations.</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17365D"/>
          </w:tcPr>
          <w:p>
            <w:r/>
            <w:r>
              <w:rPr>
                <w:b/>
                <w:color w:val="FFFFFF"/>
                <w:sz w:val="17"/>
              </w:rPr>
              <w:t>Example</w:t>
            </w:r>
          </w:p>
        </w:tc>
        <w:tc>
          <w:tcPr>
            <w:tcW w:type="dxa" w:w="3888"/>
            <w:shd w:fill="17365D"/>
          </w:tcPr>
          <w:p>
            <w:r/>
            <w:r>
              <w:rPr>
                <w:b/>
                <w:color w:val="FFFFFF"/>
                <w:sz w:val="17"/>
              </w:rPr>
              <w:t>Generic class expectation</w:t>
            </w:r>
          </w:p>
        </w:tc>
        <w:tc>
          <w:tcPr>
            <w:tcW w:type="dxa" w:w="4464"/>
            <w:shd w:fill="17365D"/>
          </w:tcPr>
          <w:p>
            <w:r/>
            <w:r>
              <w:rPr>
                <w:b/>
                <w:color w:val="FFFFFF"/>
                <w:sz w:val="17"/>
              </w:rPr>
              <w:t>RDS SQL Server Optimize CPU metadata</w:t>
            </w:r>
          </w:p>
        </w:tc>
      </w:tr>
      <w:tr>
        <w:tc>
          <w:tcPr>
            <w:tcW w:type="dxa" w:w="1872"/>
            <w:vAlign w:val="center"/>
          </w:tcPr>
          <w:p>
            <w:pPr>
              <w:spacing w:after="0"/>
            </w:pPr>
            <w:r/>
            <w:r>
              <w:rPr>
                <w:sz w:val="16"/>
              </w:rPr>
              <w:t>m7i.4xlarge</w:t>
            </w:r>
          </w:p>
        </w:tc>
        <w:tc>
          <w:tcPr>
            <w:tcW w:type="dxa" w:w="3888"/>
            <w:vAlign w:val="center"/>
          </w:tcPr>
          <w:p>
            <w:pPr>
              <w:spacing w:after="0"/>
            </w:pPr>
            <w:r/>
            <w:r>
              <w:rPr>
                <w:sz w:val="16"/>
              </w:rPr>
              <w:t>Generic hardware tables can show 16 vCPU.</w:t>
            </w:r>
          </w:p>
        </w:tc>
        <w:tc>
          <w:tcPr>
            <w:tcW w:type="dxa" w:w="4464"/>
            <w:vAlign w:val="center"/>
          </w:tcPr>
          <w:p>
            <w:pPr>
              <w:spacing w:after="0"/>
            </w:pPr>
            <w:r/>
            <w:r>
              <w:rPr>
                <w:sz w:val="16"/>
              </w:rPr>
              <w:t>RDS SQL Server Optimize CPU table shows default 8 vCPU / 8 cores / 1 thread per core.</w:t>
            </w:r>
          </w:p>
        </w:tc>
      </w:tr>
      <w:tr>
        <w:tc>
          <w:tcPr>
            <w:tcW w:type="dxa" w:w="1872"/>
            <w:shd w:fill="F8FAFC"/>
            <w:vAlign w:val="center"/>
          </w:tcPr>
          <w:p>
            <w:pPr>
              <w:spacing w:after="0"/>
            </w:pPr>
            <w:r/>
            <w:r>
              <w:rPr>
                <w:sz w:val="16"/>
              </w:rPr>
              <w:t>m7i.8xlarge</w:t>
            </w:r>
          </w:p>
        </w:tc>
        <w:tc>
          <w:tcPr>
            <w:tcW w:type="dxa" w:w="3888"/>
            <w:shd w:fill="F8FAFC"/>
            <w:vAlign w:val="center"/>
          </w:tcPr>
          <w:p>
            <w:pPr>
              <w:spacing w:after="0"/>
            </w:pPr>
            <w:r/>
            <w:r>
              <w:rPr>
                <w:sz w:val="16"/>
              </w:rPr>
              <w:t>Generic hardware tables can show 32 vCPU.</w:t>
            </w:r>
          </w:p>
        </w:tc>
        <w:tc>
          <w:tcPr>
            <w:tcW w:type="dxa" w:w="4464"/>
            <w:shd w:fill="F8FAFC"/>
            <w:vAlign w:val="center"/>
          </w:tcPr>
          <w:p>
            <w:pPr>
              <w:spacing w:after="0"/>
            </w:pPr>
            <w:r/>
            <w:r>
              <w:rPr>
                <w:sz w:val="16"/>
              </w:rPr>
              <w:t>RDS SQL Server Optimize CPU table shows default 16 vCPU / 16 cores / 1 thread per core.</w:t>
            </w:r>
          </w:p>
        </w:tc>
      </w:tr>
      <w:tr>
        <w:tc>
          <w:tcPr>
            <w:tcW w:type="dxa" w:w="1872"/>
            <w:vAlign w:val="center"/>
          </w:tcPr>
          <w:p>
            <w:pPr>
              <w:spacing w:after="0"/>
            </w:pPr>
            <w:r/>
            <w:r>
              <w:rPr>
                <w:sz w:val="16"/>
              </w:rPr>
              <w:t>x2m.2xlarge</w:t>
            </w:r>
          </w:p>
        </w:tc>
        <w:tc>
          <w:tcPr>
            <w:tcW w:type="dxa" w:w="3888"/>
            <w:vAlign w:val="center"/>
          </w:tcPr>
          <w:p>
            <w:pPr>
              <w:spacing w:after="0"/>
            </w:pPr>
            <w:r/>
            <w:r>
              <w:rPr>
                <w:sz w:val="16"/>
              </w:rPr>
              <w:t>Underlying EC2 type supports more threads.</w:t>
            </w:r>
          </w:p>
        </w:tc>
        <w:tc>
          <w:tcPr>
            <w:tcW w:type="dxa" w:w="4464"/>
            <w:vAlign w:val="center"/>
          </w:tcPr>
          <w:p>
            <w:pPr>
              <w:spacing w:after="0"/>
            </w:pPr>
            <w:r/>
            <w:r>
              <w:rPr>
                <w:sz w:val="16"/>
              </w:rPr>
              <w:t>RDS SQL Server exposes 4 vCPU by default with hyper-threading disabled.</w:t>
            </w:r>
          </w:p>
        </w:tc>
      </w:tr>
    </w:tbl>
    <w:p>
      <w:pPr>
        <w:spacing w:after="0"/>
      </w:pPr>
    </w:p>
    <w:p>
      <w:r>
        <w:t>Implementation rule: Current_SQL_visible_vCPU and Candidate_SQL_visible_vCPU must come from the RDS SQL Server engine/class/processor configuration, not from a generic instance-family lookup.</w:t>
      </w:r>
    </w:p>
    <w:p>
      <w:pPr>
        <w:pStyle w:val="Heading2"/>
      </w:pPr>
      <w:r>
        <w:t>3.4 Family-switch caveat</w:t>
      </w:r>
    </w:p>
    <w:p>
      <w:r>
        <w:t>The simple vCPU-ratio projection is strongest when shrinking within the same generation/family or when using Optimize CPU on the same hardware. Across processor generations/families, per-core performance can differ. Kentra should therefore either apply a normalized per-core capacity factor or lower confidence for cross-generation CPU projections. A newer family should not be assumed to be exactly one-for-one with an older vCPU.</w:t>
      </w:r>
    </w:p>
    <w:p>
      <w:pPr>
        <w:pStyle w:val="Heading1"/>
      </w:pPr>
      <w:r>
        <w:t>4. Memory — Verified, with One Critical Coupling</w:t>
      </w:r>
    </w:p>
    <w:p>
      <w:r>
        <w:t>The pressure-based memory model is correct. Microsoft documents that SQL Server's buffer pool grows by design and that steady-state memory use commonly approaches the configured limit. Microsoft recommends examining OS available memory, SQL process memory, memory clerks, Memory Grants Pending/Outstanding, workspace memory, and PLE/Buffer Node counters to diagnose true memory pressure.</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17365D"/>
          </w:tcPr>
          <w:p>
            <w:r/>
            <w:r>
              <w:rPr>
                <w:b/>
                <w:color w:val="FFFFFF"/>
                <w:sz w:val="17"/>
              </w:rPr>
              <w:t>Signal</w:t>
            </w:r>
          </w:p>
        </w:tc>
        <w:tc>
          <w:tcPr>
            <w:tcW w:type="dxa" w:w="1152"/>
            <w:shd w:fill="17365D"/>
          </w:tcPr>
          <w:p>
            <w:r/>
            <w:r>
              <w:rPr>
                <w:b/>
                <w:color w:val="FFFFFF"/>
                <w:sz w:val="17"/>
              </w:rPr>
              <w:t>Keep?</w:t>
            </w:r>
          </w:p>
        </w:tc>
        <w:tc>
          <w:tcPr>
            <w:tcW w:type="dxa" w:w="6192"/>
            <w:shd w:fill="17365D"/>
          </w:tcPr>
          <w:p>
            <w:r/>
            <w:r>
              <w:rPr>
                <w:b/>
                <w:color w:val="FFFFFF"/>
                <w:sz w:val="17"/>
              </w:rPr>
              <w:t>Role</w:t>
            </w:r>
          </w:p>
        </w:tc>
      </w:tr>
      <w:tr>
        <w:tc>
          <w:tcPr>
            <w:tcW w:type="dxa" w:w="2880"/>
            <w:vAlign w:val="center"/>
          </w:tcPr>
          <w:p>
            <w:pPr>
              <w:spacing w:after="0"/>
            </w:pPr>
            <w:r/>
            <w:r>
              <w:rPr>
                <w:sz w:val="16"/>
              </w:rPr>
              <w:t>Committed / target memory</w:t>
            </w:r>
          </w:p>
        </w:tc>
        <w:tc>
          <w:tcPr>
            <w:tcW w:type="dxa" w:w="1152"/>
            <w:vAlign w:val="center"/>
          </w:tcPr>
          <w:p>
            <w:pPr>
              <w:spacing w:after="0"/>
            </w:pPr>
            <w:r/>
            <w:r>
              <w:rPr>
                <w:sz w:val="16"/>
              </w:rPr>
              <w:t>Yes</w:t>
            </w:r>
          </w:p>
        </w:tc>
        <w:tc>
          <w:tcPr>
            <w:tcW w:type="dxa" w:w="6192"/>
            <w:vAlign w:val="center"/>
          </w:tcPr>
          <w:p>
            <w:pPr>
              <w:spacing w:after="0"/>
            </w:pPr>
            <w:r/>
            <w:r>
              <w:rPr>
                <w:sz w:val="16"/>
              </w:rPr>
              <w:t>Demand/context; not a standalone required-RAM formula.</w:t>
            </w:r>
          </w:p>
        </w:tc>
      </w:tr>
      <w:tr>
        <w:tc>
          <w:tcPr>
            <w:tcW w:type="dxa" w:w="2880"/>
            <w:shd w:fill="F8FAFC"/>
            <w:vAlign w:val="center"/>
          </w:tcPr>
          <w:p>
            <w:pPr>
              <w:spacing w:after="0"/>
            </w:pPr>
            <w:r/>
            <w:r>
              <w:rPr>
                <w:sz w:val="16"/>
              </w:rPr>
              <w:t>OS available memory low tail</w:t>
            </w:r>
          </w:p>
        </w:tc>
        <w:tc>
          <w:tcPr>
            <w:tcW w:type="dxa" w:w="1152"/>
            <w:shd w:fill="F8FAFC"/>
            <w:vAlign w:val="center"/>
          </w:tcPr>
          <w:p>
            <w:pPr>
              <w:spacing w:after="0"/>
            </w:pPr>
            <w:r/>
            <w:r>
              <w:rPr>
                <w:sz w:val="16"/>
              </w:rPr>
              <w:t>Yes</w:t>
            </w:r>
          </w:p>
        </w:tc>
        <w:tc>
          <w:tcPr>
            <w:tcW w:type="dxa" w:w="6192"/>
            <w:shd w:fill="F8FAFC"/>
            <w:vAlign w:val="center"/>
          </w:tcPr>
          <w:p>
            <w:pPr>
              <w:spacing w:after="0"/>
            </w:pPr>
            <w:r/>
            <w:r>
              <w:rPr>
                <w:sz w:val="16"/>
              </w:rPr>
              <w:t>External/physical memory pressure.</w:t>
            </w:r>
          </w:p>
        </w:tc>
      </w:tr>
      <w:tr>
        <w:tc>
          <w:tcPr>
            <w:tcW w:type="dxa" w:w="2880"/>
            <w:vAlign w:val="center"/>
          </w:tcPr>
          <w:p>
            <w:pPr>
              <w:spacing w:after="0"/>
            </w:pPr>
            <w:r/>
            <w:r>
              <w:rPr>
                <w:sz w:val="16"/>
              </w:rPr>
              <w:t>Memory Grants Pending/Outstanding</w:t>
            </w:r>
          </w:p>
        </w:tc>
        <w:tc>
          <w:tcPr>
            <w:tcW w:type="dxa" w:w="1152"/>
            <w:vAlign w:val="center"/>
          </w:tcPr>
          <w:p>
            <w:pPr>
              <w:spacing w:after="0"/>
            </w:pPr>
            <w:r/>
            <w:r>
              <w:rPr>
                <w:sz w:val="16"/>
              </w:rPr>
              <w:t>Add</w:t>
            </w:r>
          </w:p>
        </w:tc>
        <w:tc>
          <w:tcPr>
            <w:tcW w:type="dxa" w:w="6192"/>
            <w:vAlign w:val="center"/>
          </w:tcPr>
          <w:p>
            <w:pPr>
              <w:spacing w:after="0"/>
            </w:pPr>
            <w:r/>
            <w:r>
              <w:rPr>
                <w:sz w:val="16"/>
              </w:rPr>
              <w:t>Direct query-workspace pressure evidence.</w:t>
            </w:r>
          </w:p>
        </w:tc>
      </w:tr>
      <w:tr>
        <w:tc>
          <w:tcPr>
            <w:tcW w:type="dxa" w:w="2880"/>
            <w:shd w:fill="F8FAFC"/>
            <w:vAlign w:val="center"/>
          </w:tcPr>
          <w:p>
            <w:pPr>
              <w:spacing w:after="0"/>
            </w:pPr>
            <w:r/>
            <w:r>
              <w:rPr>
                <w:sz w:val="16"/>
              </w:rPr>
              <w:t>Granted Workspace Memory</w:t>
            </w:r>
          </w:p>
        </w:tc>
        <w:tc>
          <w:tcPr>
            <w:tcW w:type="dxa" w:w="1152"/>
            <w:shd w:fill="F8FAFC"/>
            <w:vAlign w:val="center"/>
          </w:tcPr>
          <w:p>
            <w:pPr>
              <w:spacing w:after="0"/>
            </w:pPr>
            <w:r/>
            <w:r>
              <w:rPr>
                <w:sz w:val="16"/>
              </w:rPr>
              <w:t>Add</w:t>
            </w:r>
          </w:p>
        </w:tc>
        <w:tc>
          <w:tcPr>
            <w:tcW w:type="dxa" w:w="6192"/>
            <w:shd w:fill="F8FAFC"/>
            <w:vAlign w:val="center"/>
          </w:tcPr>
          <w:p>
            <w:pPr>
              <w:spacing w:after="0"/>
            </w:pPr>
            <w:r/>
            <w:r>
              <w:rPr>
                <w:sz w:val="16"/>
              </w:rPr>
              <w:t>Size of active workspace demand.</w:t>
            </w:r>
          </w:p>
        </w:tc>
      </w:tr>
      <w:tr>
        <w:tc>
          <w:tcPr>
            <w:tcW w:type="dxa" w:w="2880"/>
            <w:vAlign w:val="center"/>
          </w:tcPr>
          <w:p>
            <w:pPr>
              <w:spacing w:after="0"/>
            </w:pPr>
            <w:r/>
            <w:r>
              <w:rPr>
                <w:sz w:val="16"/>
              </w:rPr>
              <w:t>PLE overall + per NUMA node</w:t>
            </w:r>
          </w:p>
        </w:tc>
        <w:tc>
          <w:tcPr>
            <w:tcW w:type="dxa" w:w="1152"/>
            <w:vAlign w:val="center"/>
          </w:tcPr>
          <w:p>
            <w:pPr>
              <w:spacing w:after="0"/>
            </w:pPr>
            <w:r/>
            <w:r>
              <w:rPr>
                <w:sz w:val="16"/>
              </w:rPr>
              <w:t>Improve</w:t>
            </w:r>
          </w:p>
        </w:tc>
        <w:tc>
          <w:tcPr>
            <w:tcW w:type="dxa" w:w="6192"/>
            <w:vAlign w:val="center"/>
          </w:tcPr>
          <w:p>
            <w:pPr>
              <w:spacing w:after="0"/>
            </w:pPr>
            <w:r/>
            <w:r>
              <w:rPr>
                <w:sz w:val="16"/>
              </w:rPr>
              <w:t>Detect cache churn; overall PLE is an average across NUMA nodes, so node-level values add evidence.</w:t>
            </w:r>
          </w:p>
        </w:tc>
      </w:tr>
      <w:tr>
        <w:tc>
          <w:tcPr>
            <w:tcW w:type="dxa" w:w="2880"/>
            <w:shd w:fill="F8FAFC"/>
            <w:vAlign w:val="center"/>
          </w:tcPr>
          <w:p>
            <w:pPr>
              <w:spacing w:after="0"/>
            </w:pPr>
            <w:r/>
            <w:r>
              <w:rPr>
                <w:sz w:val="16"/>
              </w:rPr>
              <w:t>Process physical memory / low flags</w:t>
            </w:r>
          </w:p>
        </w:tc>
        <w:tc>
          <w:tcPr>
            <w:tcW w:type="dxa" w:w="1152"/>
            <w:shd w:fill="F8FAFC"/>
            <w:vAlign w:val="center"/>
          </w:tcPr>
          <w:p>
            <w:pPr>
              <w:spacing w:after="0"/>
            </w:pPr>
            <w:r/>
            <w:r>
              <w:rPr>
                <w:sz w:val="16"/>
              </w:rPr>
              <w:t>Add</w:t>
            </w:r>
          </w:p>
        </w:tc>
        <w:tc>
          <w:tcPr>
            <w:tcW w:type="dxa" w:w="6192"/>
            <w:shd w:fill="F8FAFC"/>
            <w:vAlign w:val="center"/>
          </w:tcPr>
          <w:p>
            <w:pPr>
              <w:spacing w:after="0"/>
            </w:pPr>
            <w:r/>
            <w:r>
              <w:rPr>
                <w:sz w:val="16"/>
              </w:rPr>
              <w:t>Captures process-level pressure beyond SQL memory manager accounting.</w:t>
            </w:r>
          </w:p>
        </w:tc>
      </w:tr>
      <w:tr>
        <w:tc>
          <w:tcPr>
            <w:tcW w:type="dxa" w:w="2880"/>
            <w:vAlign w:val="center"/>
          </w:tcPr>
          <w:p>
            <w:pPr>
              <w:spacing w:after="0"/>
            </w:pPr>
            <w:r/>
            <w:r>
              <w:rPr>
                <w:sz w:val="16"/>
              </w:rPr>
              <w:t>Memory clerks / stolen memory</w:t>
            </w:r>
          </w:p>
        </w:tc>
        <w:tc>
          <w:tcPr>
            <w:tcW w:type="dxa" w:w="1152"/>
            <w:vAlign w:val="center"/>
          </w:tcPr>
          <w:p>
            <w:pPr>
              <w:spacing w:after="0"/>
            </w:pPr>
            <w:r/>
            <w:r>
              <w:rPr>
                <w:sz w:val="16"/>
              </w:rPr>
              <w:t>Yes</w:t>
            </w:r>
          </w:p>
        </w:tc>
        <w:tc>
          <w:tcPr>
            <w:tcW w:type="dxa" w:w="6192"/>
            <w:vAlign w:val="center"/>
          </w:tcPr>
          <w:p>
            <w:pPr>
              <w:spacing w:after="0"/>
            </w:pPr>
            <w:r/>
            <w:r>
              <w:rPr>
                <w:sz w:val="16"/>
              </w:rPr>
              <w:t>Separates less-elastic memory from reclaimable cache.</w:t>
            </w:r>
          </w:p>
        </w:tc>
      </w:tr>
    </w:tbl>
    <w:p>
      <w:pPr>
        <w:spacing w:after="0"/>
      </w:pPr>
    </w:p>
    <w:p>
      <w:pPr>
        <w:pStyle w:val="Heading2"/>
      </w:pPr>
      <w:r>
        <w:t>4.1 Critical addition: memory downsizing can increase physical reads</w:t>
      </w:r>
    </w:p>
    <w:tbl>
      <w:tblPr>
        <w:tblStyle w:val="TableGrid"/>
        <w:tblW w:type="auto" w:w="0"/>
        <w:tblLook w:firstColumn="1" w:firstRow="1" w:lastColumn="0" w:lastRow="0" w:noHBand="0" w:noVBand="1" w:val="04A0"/>
      </w:tblPr>
      <w:tblGrid>
        <w:gridCol w:w="10224"/>
      </w:tblGrid>
      <w:tr>
        <w:tc>
          <w:tcPr>
            <w:tcW w:type="dxa" w:w="10224"/>
            <w:shd w:fill="FFF2CC"/>
          </w:tcPr>
          <w:p>
            <w:pPr>
              <w:spacing w:after="0"/>
            </w:pPr>
            <w:r>
              <w:rPr>
                <w:b/>
                <w:color w:val="17365D"/>
                <w:sz w:val="20"/>
              </w:rPr>
              <w:t>Required production refinement</w:t>
              <w:br/>
            </w:r>
            <w:r>
              <w:rPr>
                <w:sz w:val="18"/>
              </w:rPr>
              <w:t>CPU, memory and I/O cannot be treated as completely independent gates. AWS explicitly recommends enough RAM for the working set to reside almost completely in memory and says ReadIOPS under load is evidence of whether that is true. Microsoft likewise notes that memory pressure creates extra I/O. Therefore a 128→64 GiB recommendation can increase physical ReadIOPS even when current ReadIOPS is low.</w:t>
            </w:r>
          </w:p>
        </w:tc>
      </w:tr>
    </w:tbl>
    <w:p>
      <w:pPr>
        <w:spacing w:after="0"/>
      </w:pPr>
    </w:p>
    <w:p>
      <w:r>
        <w:t>Kentra should collect Buffer Cache Hit Ratio, Page Reads/sec, Page Writes/sec and preferably Lazy Writes/sec alongside current memory metrics. These do not perfectly predict the future I/O after a RAM reduction, but they substantially improve confidence about how much of the current buffer cache is truly active.</w:t>
      </w:r>
    </w:p>
    <w:p>
      <w:r>
        <w:t>Policy: if a candidate materially reduces RAM and the evidence cannot demonstrate a stable working set, do not falsely predict exact future IOPS. Classify the candidate as Aggressive/Medium-confidence, or prefer a memory-optimized/Optimize-CPU candidate that preserves RAM.</w:t>
      </w:r>
    </w:p>
    <w:p>
      <w:pPr>
        <w:pStyle w:val="Heading1"/>
      </w:pPr>
      <w:r>
        <w:t>5. IOPS and Throughput — Verified and Strengthened</w:t>
      </w:r>
    </w:p>
    <w:p>
      <w:r>
        <w:t>The collector's sys.dm_io_virtual_file_stats source is correct. Microsoft defines its read/write operation counts, byte counts and I/O stall counters as cumulative file-level physical I/O statistics. Kentra should convert those deltas into rates using actual elapsed time.</w:t>
      </w:r>
    </w:p>
    <w:p>
      <w:pPr>
        <w:spacing w:after="60"/>
        <w:ind w:left="288"/>
      </w:pPr>
      <w:r>
        <w:rPr>
          <w:rFonts w:ascii="Consolas" w:hAnsi="Consolas"/>
          <w:color w:val="282828"/>
          <w:sz w:val="17"/>
        </w:rPr>
        <w:t>ReadIOPS = Δnum_of_reads / elapsed_seconds</w:t>
      </w:r>
    </w:p>
    <w:p>
      <w:pPr>
        <w:spacing w:after="60"/>
        <w:ind w:left="288"/>
      </w:pPr>
      <w:r>
        <w:rPr>
          <w:rFonts w:ascii="Consolas" w:hAnsi="Consolas"/>
          <w:color w:val="282828"/>
          <w:sz w:val="17"/>
        </w:rPr>
        <w:t>WriteIOPS = Δnum_of_writes / elapsed_seconds</w:t>
      </w:r>
    </w:p>
    <w:p>
      <w:pPr>
        <w:spacing w:after="60"/>
        <w:ind w:left="288"/>
      </w:pPr>
      <w:r>
        <w:rPr>
          <w:rFonts w:ascii="Consolas" w:hAnsi="Consolas"/>
          <w:color w:val="282828"/>
          <w:sz w:val="17"/>
        </w:rPr>
        <w:t>ReadMiB/s = Δnum_of_bytes_read / elapsed_seconds / 1,048,576</w:t>
      </w:r>
    </w:p>
    <w:p>
      <w:pPr>
        <w:spacing w:after="60"/>
        <w:ind w:left="288"/>
      </w:pPr>
      <w:r>
        <w:rPr>
          <w:rFonts w:ascii="Consolas" w:hAnsi="Consolas"/>
          <w:color w:val="282828"/>
          <w:sz w:val="17"/>
        </w:rPr>
        <w:t>WriteMiB/s = Δnum_of_bytes_written / elapsed_seconds / 1,048,576</w:t>
      </w:r>
    </w:p>
    <w:p>
      <w:pPr>
        <w:pStyle w:val="Heading2"/>
      </w:pPr>
      <w:r>
        <w:t>5.1 Aggregation order is correct</w:t>
      </w:r>
    </w:p>
    <w:p>
      <w:r>
        <w:t>Continue to aggregate all relevant databases within each sample first, then calculate P50/P95/P99 over the resulting instance series. Never sum independent database P95 values.</w:t>
      </w:r>
    </w:p>
    <w:p>
      <w:pPr>
        <w:pStyle w:val="Heading2"/>
      </w:pPr>
      <w:r>
        <w:t>5.2 Major correction: validate sustained baseline AND burst maximum</w:t>
      </w:r>
    </w:p>
    <w:tbl>
      <w:tblPr>
        <w:tblStyle w:val="TableGrid"/>
        <w:tblW w:type="auto" w:w="0"/>
        <w:tblLook w:firstColumn="1" w:firstRow="1" w:lastColumn="0" w:lastRow="0" w:noHBand="0" w:noVBand="1" w:val="04A0"/>
      </w:tblPr>
      <w:tblGrid>
        <w:gridCol w:w="10224"/>
      </w:tblGrid>
      <w:tr>
        <w:tc>
          <w:tcPr>
            <w:tcW w:type="dxa" w:w="10224"/>
            <w:shd w:fill="FFF2CC"/>
          </w:tcPr>
          <w:p>
            <w:pPr>
              <w:spacing w:after="0"/>
            </w:pPr>
            <w:r>
              <w:rPr>
                <w:b/>
                <w:color w:val="17365D"/>
                <w:sz w:val="20"/>
              </w:rPr>
              <w:t>Required production refinement</w:t>
              <w:br/>
            </w:r>
            <w:r>
              <w:rPr>
                <w:sz w:val="18"/>
              </w:rPr>
              <w:t>The target DB class should not be validated against its maximum IOPS/throughput alone. AWS documents that some smaller RDS classes have baseline and maximum EBS performance, and some can sustain maximum performance for only a limited burst window (for example at least 30 minutes once every 24 hours on flagged classes).</w:t>
            </w:r>
          </w:p>
        </w:tc>
      </w:tr>
    </w:tbl>
    <w:p>
      <w:pPr>
        <w:spacing w:after="0"/>
      </w:pP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7365D"/>
          </w:tcPr>
          <w:p>
            <w:r/>
            <w:r>
              <w:rPr>
                <w:b/>
                <w:color w:val="FFFFFF"/>
                <w:sz w:val="17"/>
              </w:rPr>
              <w:t>Workload statistic</w:t>
            </w:r>
          </w:p>
        </w:tc>
        <w:tc>
          <w:tcPr>
            <w:tcW w:type="dxa" w:w="3312"/>
            <w:shd w:fill="17365D"/>
          </w:tcPr>
          <w:p>
            <w:r/>
            <w:r>
              <w:rPr>
                <w:b/>
                <w:color w:val="FFFFFF"/>
                <w:sz w:val="17"/>
              </w:rPr>
              <w:t>Compare against</w:t>
            </w:r>
          </w:p>
        </w:tc>
        <w:tc>
          <w:tcPr>
            <w:tcW w:type="dxa" w:w="4608"/>
            <w:shd w:fill="17365D"/>
          </w:tcPr>
          <w:p>
            <w:r/>
            <w:r>
              <w:rPr>
                <w:b/>
                <w:color w:val="FFFFFF"/>
                <w:sz w:val="17"/>
              </w:rPr>
              <w:t>Rule</w:t>
            </w:r>
          </w:p>
        </w:tc>
      </w:tr>
      <w:tr>
        <w:tc>
          <w:tcPr>
            <w:tcW w:type="dxa" w:w="2304"/>
            <w:vAlign w:val="center"/>
          </w:tcPr>
          <w:p>
            <w:pPr>
              <w:spacing w:after="0"/>
            </w:pPr>
            <w:r/>
            <w:r>
              <w:rPr>
                <w:sz w:val="16"/>
              </w:rPr>
              <w:t>P95 normal IOPS</w:t>
            </w:r>
          </w:p>
        </w:tc>
        <w:tc>
          <w:tcPr>
            <w:tcW w:type="dxa" w:w="3312"/>
            <w:vAlign w:val="center"/>
          </w:tcPr>
          <w:p>
            <w:pPr>
              <w:spacing w:after="0"/>
            </w:pPr>
            <w:r/>
            <w:r>
              <w:rPr>
                <w:sz w:val="16"/>
              </w:rPr>
              <w:t>Candidate sustained/baseline IOPS capability</w:t>
            </w:r>
          </w:p>
        </w:tc>
        <w:tc>
          <w:tcPr>
            <w:tcW w:type="dxa" w:w="4608"/>
            <w:vAlign w:val="center"/>
          </w:tcPr>
          <w:p>
            <w:pPr>
              <w:spacing w:after="0"/>
            </w:pPr>
            <w:r/>
            <w:r>
              <w:rPr>
                <w:sz w:val="16"/>
              </w:rPr>
              <w:t>Should fit the sustainable capability for normal production workload.</w:t>
            </w:r>
          </w:p>
        </w:tc>
      </w:tr>
      <w:tr>
        <w:tc>
          <w:tcPr>
            <w:tcW w:type="dxa" w:w="2304"/>
            <w:shd w:fill="F8FAFC"/>
            <w:vAlign w:val="center"/>
          </w:tcPr>
          <w:p>
            <w:pPr>
              <w:spacing w:after="0"/>
            </w:pPr>
            <w:r/>
            <w:r>
              <w:rPr>
                <w:sz w:val="16"/>
              </w:rPr>
              <w:t>P95 normal throughput</w:t>
            </w:r>
          </w:p>
        </w:tc>
        <w:tc>
          <w:tcPr>
            <w:tcW w:type="dxa" w:w="3312"/>
            <w:shd w:fill="F8FAFC"/>
            <w:vAlign w:val="center"/>
          </w:tcPr>
          <w:p>
            <w:pPr>
              <w:spacing w:after="0"/>
            </w:pPr>
            <w:r/>
            <w:r>
              <w:rPr>
                <w:sz w:val="16"/>
              </w:rPr>
              <w:t>Candidate sustained/baseline throughput/EBS bandwidth</w:t>
            </w:r>
          </w:p>
        </w:tc>
        <w:tc>
          <w:tcPr>
            <w:tcW w:type="dxa" w:w="4608"/>
            <w:shd w:fill="F8FAFC"/>
            <w:vAlign w:val="center"/>
          </w:tcPr>
          <w:p>
            <w:pPr>
              <w:spacing w:after="0"/>
            </w:pPr>
            <w:r/>
            <w:r>
              <w:rPr>
                <w:sz w:val="16"/>
              </w:rPr>
              <w:t>Should fit sustained capability.</w:t>
            </w:r>
          </w:p>
        </w:tc>
      </w:tr>
      <w:tr>
        <w:tc>
          <w:tcPr>
            <w:tcW w:type="dxa" w:w="2304"/>
            <w:vAlign w:val="center"/>
          </w:tcPr>
          <w:p>
            <w:pPr>
              <w:spacing w:after="0"/>
            </w:pPr>
            <w:r/>
            <w:r>
              <w:rPr>
                <w:sz w:val="16"/>
              </w:rPr>
              <w:t>P99 bursts</w:t>
            </w:r>
          </w:p>
        </w:tc>
        <w:tc>
          <w:tcPr>
            <w:tcW w:type="dxa" w:w="3312"/>
            <w:vAlign w:val="center"/>
          </w:tcPr>
          <w:p>
            <w:pPr>
              <w:spacing w:after="0"/>
            </w:pPr>
            <w:r/>
            <w:r>
              <w:rPr>
                <w:sz w:val="16"/>
              </w:rPr>
              <w:t>Candidate maximum/burst capability</w:t>
            </w:r>
          </w:p>
        </w:tc>
        <w:tc>
          <w:tcPr>
            <w:tcW w:type="dxa" w:w="4608"/>
            <w:vAlign w:val="center"/>
          </w:tcPr>
          <w:p>
            <w:pPr>
              <w:spacing w:after="0"/>
            </w:pPr>
            <w:r/>
            <w:r>
              <w:rPr>
                <w:sz w:val="16"/>
              </w:rPr>
              <w:t>Can use burst capacity only when observed burst duration/frequency fits the instance behavior.</w:t>
            </w:r>
          </w:p>
        </w:tc>
      </w:tr>
      <w:tr>
        <w:tc>
          <w:tcPr>
            <w:tcW w:type="dxa" w:w="2304"/>
            <w:shd w:fill="F8FAFC"/>
            <w:vAlign w:val="center"/>
          </w:tcPr>
          <w:p>
            <w:pPr>
              <w:spacing w:after="0"/>
            </w:pPr>
            <w:r/>
            <w:r>
              <w:rPr>
                <w:sz w:val="16"/>
              </w:rPr>
              <w:t>Max</w:t>
            </w:r>
          </w:p>
        </w:tc>
        <w:tc>
          <w:tcPr>
            <w:tcW w:type="dxa" w:w="3312"/>
            <w:shd w:fill="F8FAFC"/>
            <w:vAlign w:val="center"/>
          </w:tcPr>
          <w:p>
            <w:pPr>
              <w:spacing w:after="0"/>
            </w:pPr>
            <w:r/>
            <w:r>
              <w:rPr>
                <w:sz w:val="16"/>
              </w:rPr>
              <w:t>Context/anomaly</w:t>
            </w:r>
          </w:p>
        </w:tc>
        <w:tc>
          <w:tcPr>
            <w:tcW w:type="dxa" w:w="4608"/>
            <w:shd w:fill="F8FAFC"/>
            <w:vAlign w:val="center"/>
          </w:tcPr>
          <w:p>
            <w:pPr>
              <w:spacing w:after="0"/>
            </w:pPr>
            <w:r/>
            <w:r>
              <w:rPr>
                <w:sz w:val="16"/>
              </w:rPr>
              <w:t>Do not reject solely for one isolated sample; inspect duration and frequency.</w:t>
            </w:r>
          </w:p>
        </w:tc>
      </w:tr>
    </w:tbl>
    <w:p>
      <w:pPr>
        <w:spacing w:after="0"/>
      </w:pPr>
    </w:p>
    <w:p>
      <w:pPr>
        <w:pStyle w:val="Heading2"/>
      </w:pPr>
      <w:r>
        <w:t>5.3 Instance-level capability remains the right comparison</w:t>
      </w:r>
    </w:p>
    <w:p>
      <w:r>
        <w:t>The scope remains target DB-instance capability, not storage optimization. AWS states that maximum IOPS can be enforced at the DB instance level and that attached volumes cannot exceed the class-level ceiling. AWS also publishes maximum EBS bandwidth per DB class. Kentra must use these target-class limits while leaving the customer's gp3/io2 design unchanged in V1.</w:t>
      </w:r>
    </w:p>
    <w:p>
      <w:pPr>
        <w:pStyle w:val="Heading1"/>
      </w:pPr>
      <w:r>
        <w:t>6. tempdb / NVMe — Verified</w:t>
      </w:r>
    </w:p>
    <w:p>
      <w:r>
        <w:t>The four-way candidate-aware transition model is correct. AWS RDS for SQL Server automatically places tempdb on local NVMe instance storage for supported classes including db.m5d, db.r5d, db.x2iedn and db.x2m. SQL Server user database and log files are not placed there.</w:t>
      </w:r>
    </w:p>
    <w:tbl>
      <w:tblPr>
        <w:tblStyle w:val="TableGrid"/>
        <w:tblW w:type="auto" w:w="0"/>
        <w:jc w:val="center"/>
        <w:tblLook w:firstColumn="1" w:firstRow="1" w:lastColumn="0" w:lastRow="0" w:noHBand="0" w:noVBand="1" w:val="04A0"/>
      </w:tblPr>
      <w:tblGrid>
        <w:gridCol w:w="5112"/>
        <w:gridCol w:w="5112"/>
      </w:tblGrid>
      <w:tr>
        <w:tc>
          <w:tcPr>
            <w:tcW w:type="dxa" w:w="2880"/>
            <w:shd w:fill="17365D"/>
          </w:tcPr>
          <w:p>
            <w:r/>
            <w:r>
              <w:rPr>
                <w:b/>
                <w:color w:val="FFFFFF"/>
                <w:sz w:val="17"/>
              </w:rPr>
              <w:t>Current → Target</w:t>
            </w:r>
          </w:p>
        </w:tc>
        <w:tc>
          <w:tcPr>
            <w:tcW w:type="dxa" w:w="7344"/>
            <w:shd w:fill="17365D"/>
          </w:tcPr>
          <w:p>
            <w:r/>
            <w:r>
              <w:rPr>
                <w:b/>
                <w:color w:val="FFFFFF"/>
                <w:sz w:val="17"/>
              </w:rPr>
              <w:t>Correct Kentra treatment</w:t>
            </w:r>
          </w:p>
        </w:tc>
      </w:tr>
      <w:tr>
        <w:tc>
          <w:tcPr>
            <w:tcW w:type="dxa" w:w="2880"/>
            <w:vAlign w:val="center"/>
          </w:tcPr>
          <w:p>
            <w:pPr>
              <w:spacing w:after="0"/>
            </w:pPr>
            <w:r/>
            <w:r>
              <w:rPr>
                <w:sz w:val="16"/>
              </w:rPr>
              <w:t>Non-NVMe → Non-NVMe</w:t>
            </w:r>
          </w:p>
        </w:tc>
        <w:tc>
          <w:tcPr>
            <w:tcW w:type="dxa" w:w="7344"/>
            <w:vAlign w:val="center"/>
          </w:tcPr>
          <w:p>
            <w:pPr>
              <w:spacing w:after="0"/>
            </w:pPr>
            <w:r/>
            <w:r>
              <w:rPr>
                <w:sz w:val="16"/>
              </w:rPr>
              <w:t>User/system DB + tempdb remain on the normal storage path.</w:t>
            </w:r>
          </w:p>
        </w:tc>
      </w:tr>
      <w:tr>
        <w:tc>
          <w:tcPr>
            <w:tcW w:type="dxa" w:w="2880"/>
            <w:shd w:fill="F8FAFC"/>
            <w:vAlign w:val="center"/>
          </w:tcPr>
          <w:p>
            <w:pPr>
              <w:spacing w:after="0"/>
            </w:pPr>
            <w:r/>
            <w:r>
              <w:rPr>
                <w:sz w:val="16"/>
              </w:rPr>
              <w:t>Non-NVMe → NVMe</w:t>
            </w:r>
          </w:p>
        </w:tc>
        <w:tc>
          <w:tcPr>
            <w:tcW w:type="dxa" w:w="7344"/>
            <w:shd w:fill="F8FAFC"/>
            <w:vAlign w:val="center"/>
          </w:tcPr>
          <w:p>
            <w:pPr>
              <w:spacing w:after="0"/>
            </w:pPr>
            <w:r/>
            <w:r>
              <w:rPr>
                <w:sz w:val="16"/>
              </w:rPr>
              <w:t>Remove tempdb from normal-path demand; validate tempdb separately on local instance store.</w:t>
            </w:r>
          </w:p>
        </w:tc>
      </w:tr>
      <w:tr>
        <w:tc>
          <w:tcPr>
            <w:tcW w:type="dxa" w:w="2880"/>
            <w:vAlign w:val="center"/>
          </w:tcPr>
          <w:p>
            <w:pPr>
              <w:spacing w:after="0"/>
            </w:pPr>
            <w:r/>
            <w:r>
              <w:rPr>
                <w:sz w:val="16"/>
              </w:rPr>
              <w:t>NVMe → NVMe</w:t>
            </w:r>
          </w:p>
        </w:tc>
        <w:tc>
          <w:tcPr>
            <w:tcW w:type="dxa" w:w="7344"/>
            <w:vAlign w:val="center"/>
          </w:tcPr>
          <w:p>
            <w:pPr>
              <w:spacing w:after="0"/>
            </w:pPr>
            <w:r/>
            <w:r>
              <w:rPr>
                <w:sz w:val="16"/>
              </w:rPr>
              <w:t>Keep tempdb separate; revalidate because smaller target classes can have less local NVMe capacity.</w:t>
            </w:r>
          </w:p>
        </w:tc>
      </w:tr>
      <w:tr>
        <w:tc>
          <w:tcPr>
            <w:tcW w:type="dxa" w:w="2880"/>
            <w:shd w:fill="F8FAFC"/>
            <w:vAlign w:val="center"/>
          </w:tcPr>
          <w:p>
            <w:pPr>
              <w:spacing w:after="0"/>
            </w:pPr>
            <w:r/>
            <w:r>
              <w:rPr>
                <w:sz w:val="16"/>
              </w:rPr>
              <w:t>NVMe → Non-NVMe</w:t>
            </w:r>
          </w:p>
        </w:tc>
        <w:tc>
          <w:tcPr>
            <w:tcW w:type="dxa" w:w="7344"/>
            <w:shd w:fill="F8FAFC"/>
            <w:vAlign w:val="center"/>
          </w:tcPr>
          <w:p>
            <w:pPr>
              <w:spacing w:after="0"/>
            </w:pPr>
            <w:r/>
            <w:r>
              <w:rPr>
                <w:sz w:val="16"/>
              </w:rPr>
              <w:t>Add tempdb IOPS/throughput back to the normal path before qualifying the smaller target.</w:t>
            </w:r>
          </w:p>
        </w:tc>
      </w:tr>
    </w:tbl>
    <w:p>
      <w:pPr>
        <w:spacing w:after="0"/>
      </w:pPr>
    </w:p>
    <w:p>
      <w:r>
        <w:t>Hard NVMe gate: peak/representative tempdb allocated size must fit the target instance-store capacity. AWS explicitly warns that a full tempdb instance store can cause errors and recommends scaling to a class with more local storage or changing the configuration.</w:t>
      </w:r>
    </w:p>
    <w:p>
      <w:r>
        <w:t>Performance note: RDS documents local NVMe as low-latency/high-I/O storage but does not publish a simple universal RDS tempdb IOPS guarantee for every class. Therefore Kentra should treat local-NVMe capacity as a hard gate and tempdb I/O intensity as a confidence/risk signal unless an authoritative class-specific performance limit is available.</w:t>
      </w:r>
    </w:p>
    <w:p>
      <w:pPr>
        <w:pStyle w:val="Heading1"/>
      </w:pPr>
      <w:r>
        <w:t>7. Enterprise → Standard — Verified but Expanded</w:t>
      </w:r>
    </w:p>
    <w:p>
      <w:r>
        <w:t>A feature-compatibility check alone is insufficient. Standard Edition imposes version-specific scale limits. For SQL Server 2022, Microsoft documents a Database Engine limit of the lesser of 4 sockets or 24 cores, a 128 GiB buffer-pool limit, a 32 GiB columnstore segment-cache limit, and a 32 GiB memory-optimized data limit per database.</w:t>
      </w:r>
    </w:p>
    <w:tbl>
      <w:tblPr>
        <w:tblStyle w:val="TableGrid"/>
        <w:tblW w:type="auto" w:w="0"/>
        <w:tblLook w:firstColumn="1" w:firstRow="1" w:lastColumn="0" w:lastRow="0" w:noHBand="0" w:noVBand="1" w:val="04A0"/>
      </w:tblPr>
      <w:tblGrid>
        <w:gridCol w:w="10224"/>
      </w:tblGrid>
      <w:tr>
        <w:tc>
          <w:tcPr>
            <w:tcW w:type="dxa" w:w="10224"/>
            <w:shd w:fill="E2F0D9"/>
          </w:tcPr>
          <w:p>
            <w:pPr>
              <w:spacing w:after="0"/>
            </w:pPr>
            <w:r>
              <w:rPr>
                <w:b/>
                <w:color w:val="17365D"/>
                <w:sz w:val="20"/>
              </w:rPr>
              <w:t>Revised edition gate</w:t>
              <w:br/>
            </w:r>
            <w:r>
              <w:rPr>
                <w:sz w:val="18"/>
              </w:rPr>
              <w:t>EditionEligible = FeatureCompatible AND VendorSupported AND StandardScaleLimitsFit AND RDSClass/VersionOrderable AND MigrationPathAccepted</w:t>
            </w:r>
          </w:p>
        </w:tc>
      </w:tr>
    </w:tbl>
    <w:p>
      <w:pPr>
        <w:spacing w:after="0"/>
      </w:pPr>
    </w:p>
    <w:p>
      <w:r>
        <w:t>Operationally, Enterprise→Standard on normal RDS is not simply an in-place instance-class modification. AWS Prescriptive Guidance recommends native backup/restore and/or AWS DMS for the downgrade. Normal snapshot restore supports Standard→Enterprise but not the reverse. Kentra should present the edition change as a migration recommendation, not a simple resize.</w:t>
      </w:r>
    </w:p>
    <w:p>
      <w:pPr>
        <w:pStyle w:val="Heading1"/>
      </w:pPr>
      <w:r>
        <w:t>8. Dynamic Candidate Catalog — Required</w:t>
      </w:r>
    </w:p>
    <w:p>
      <w:r>
        <w:t>Do not hard-code an evergreen class matrix. AWS states that class support varies by SQL Server edition, engine version and Region. At recommendation time, Kentra should build/refresh candidate metadata from DescribeOrderableDBInstanceOptions (or an equivalent periodically refreshed catalog).</w:t>
      </w:r>
    </w:p>
    <w:p>
      <w:pPr>
        <w:pStyle w:val="ListBullet"/>
        <w:spacing w:after="40"/>
      </w:pPr>
      <w:r>
        <w:t>Engine/edition and exact engine version.</w:t>
      </w:r>
    </w:p>
    <w:p>
      <w:pPr>
        <w:pStyle w:val="ListBullet"/>
        <w:spacing w:after="40"/>
      </w:pPr>
      <w:r>
        <w:t>Region availability.</w:t>
      </w:r>
    </w:p>
    <w:p>
      <w:pPr>
        <w:pStyle w:val="ListBullet"/>
        <w:spacing w:after="40"/>
      </w:pPr>
      <w:r>
        <w:t>DB instance class.</w:t>
      </w:r>
    </w:p>
    <w:p>
      <w:pPr>
        <w:pStyle w:val="ListBullet"/>
        <w:spacing w:after="40"/>
      </w:pPr>
      <w:r>
        <w:t>Available processor features / valid Optimize CPU settings.</w:t>
      </w:r>
    </w:p>
    <w:p>
      <w:pPr>
        <w:pStyle w:val="ListBullet"/>
        <w:spacing w:after="40"/>
      </w:pPr>
      <w:r>
        <w:t>Multi-AZ capability where relevant.</w:t>
      </w:r>
    </w:p>
    <w:p>
      <w:pPr>
        <w:pStyle w:val="ListBullet"/>
        <w:spacing w:after="40"/>
      </w:pPr>
      <w:r>
        <w:t>Instance IOPS/throughput metadata and local-instance-store capacity.</w:t>
      </w:r>
    </w:p>
    <w:p>
      <w:pPr>
        <w:pStyle w:val="Heading1"/>
      </w:pPr>
      <w:r>
        <w:t>9. Evidence Window and Confidence</w:t>
      </w:r>
    </w:p>
    <w:p>
      <w:r>
        <w:t>The original V1 did not set a firm observation window. Industry practice strongly favors a multi-day lookback. AWS Compute Optimizer uses 14 days by default, offers 32-day and 93-day lookbacks, and requires sufficient metric history before issuing recommendations. AWS rightsizing guidance also emphasizes recent and representative workload data.</w:t>
      </w:r>
    </w:p>
    <w:tbl>
      <w:tblPr>
        <w:tblStyle w:val="TableGrid"/>
        <w:tblW w:type="auto" w:w="0"/>
        <w:jc w:val="center"/>
        <w:tblLook w:firstColumn="1" w:firstRow="1" w:lastColumn="0" w:lastRow="0" w:noHBand="0" w:noVBand="1" w:val="04A0"/>
      </w:tblPr>
      <w:tblGrid>
        <w:gridCol w:w="5112"/>
        <w:gridCol w:w="5112"/>
      </w:tblGrid>
      <w:tr>
        <w:tc>
          <w:tcPr>
            <w:tcW w:type="dxa" w:w="2448"/>
            <w:shd w:fill="17365D"/>
          </w:tcPr>
          <w:p>
            <w:r/>
            <w:r>
              <w:rPr>
                <w:b/>
                <w:color w:val="FFFFFF"/>
                <w:sz w:val="17"/>
              </w:rPr>
              <w:t>Collection window</w:t>
            </w:r>
          </w:p>
        </w:tc>
        <w:tc>
          <w:tcPr>
            <w:tcW w:type="dxa" w:w="7776"/>
            <w:shd w:fill="17365D"/>
          </w:tcPr>
          <w:p>
            <w:r/>
            <w:r>
              <w:rPr>
                <w:b/>
                <w:color w:val="FFFFFF"/>
                <w:sz w:val="17"/>
              </w:rPr>
              <w:t>Kentra interpretation</w:t>
            </w:r>
          </w:p>
        </w:tc>
      </w:tr>
      <w:tr>
        <w:tc>
          <w:tcPr>
            <w:tcW w:type="dxa" w:w="2448"/>
            <w:vAlign w:val="center"/>
          </w:tcPr>
          <w:p>
            <w:pPr>
              <w:spacing w:after="0"/>
            </w:pPr>
            <w:r/>
            <w:r>
              <w:rPr>
                <w:sz w:val="16"/>
              </w:rPr>
              <w:t>&lt; 48 hours</w:t>
            </w:r>
          </w:p>
        </w:tc>
        <w:tc>
          <w:tcPr>
            <w:tcW w:type="dxa" w:w="7776"/>
            <w:vAlign w:val="center"/>
          </w:tcPr>
          <w:p>
            <w:pPr>
              <w:spacing w:after="0"/>
            </w:pPr>
            <w:r/>
            <w:r>
              <w:rPr>
                <w:sz w:val="16"/>
              </w:rPr>
              <w:t>Insufficient for production rightsizing except clearly idle/non-production cases.</w:t>
            </w:r>
          </w:p>
        </w:tc>
      </w:tr>
      <w:tr>
        <w:tc>
          <w:tcPr>
            <w:tcW w:type="dxa" w:w="2448"/>
            <w:shd w:fill="F8FAFC"/>
            <w:vAlign w:val="center"/>
          </w:tcPr>
          <w:p>
            <w:pPr>
              <w:spacing w:after="0"/>
            </w:pPr>
            <w:r/>
            <w:r>
              <w:rPr>
                <w:sz w:val="16"/>
              </w:rPr>
              <w:t>3–6 days</w:t>
            </w:r>
          </w:p>
        </w:tc>
        <w:tc>
          <w:tcPr>
            <w:tcW w:type="dxa" w:w="7776"/>
            <w:shd w:fill="F8FAFC"/>
            <w:vAlign w:val="center"/>
          </w:tcPr>
          <w:p>
            <w:pPr>
              <w:spacing w:after="0"/>
            </w:pPr>
            <w:r/>
            <w:r>
              <w:rPr>
                <w:sz w:val="16"/>
              </w:rPr>
              <w:t>Preliminary / low-to-medium confidence. Useful if explicitly representative.</w:t>
            </w:r>
          </w:p>
        </w:tc>
      </w:tr>
      <w:tr>
        <w:tc>
          <w:tcPr>
            <w:tcW w:type="dxa" w:w="2448"/>
            <w:vAlign w:val="center"/>
          </w:tcPr>
          <w:p>
            <w:pPr>
              <w:spacing w:after="0"/>
            </w:pPr>
            <w:r/>
            <w:r>
              <w:rPr>
                <w:sz w:val="16"/>
              </w:rPr>
              <w:t>≥ 7 days</w:t>
            </w:r>
          </w:p>
        </w:tc>
        <w:tc>
          <w:tcPr>
            <w:tcW w:type="dxa" w:w="7776"/>
            <w:vAlign w:val="center"/>
          </w:tcPr>
          <w:p>
            <w:pPr>
              <w:spacing w:after="0"/>
            </w:pPr>
            <w:r/>
            <w:r>
              <w:rPr>
                <w:sz w:val="16"/>
              </w:rPr>
              <w:t>Minimum recommended Kentra production assessment; must include normal peak business periods.</w:t>
            </w:r>
          </w:p>
        </w:tc>
      </w:tr>
      <w:tr>
        <w:tc>
          <w:tcPr>
            <w:tcW w:type="dxa" w:w="2448"/>
            <w:shd w:fill="F8FAFC"/>
            <w:vAlign w:val="center"/>
          </w:tcPr>
          <w:p>
            <w:pPr>
              <w:spacing w:after="0"/>
            </w:pPr>
            <w:r/>
            <w:r>
              <w:rPr>
                <w:sz w:val="16"/>
              </w:rPr>
              <w:t>≥ 14 days</w:t>
            </w:r>
          </w:p>
        </w:tc>
        <w:tc>
          <w:tcPr>
            <w:tcW w:type="dxa" w:w="7776"/>
            <w:shd w:fill="F8FAFC"/>
            <w:vAlign w:val="center"/>
          </w:tcPr>
          <w:p>
            <w:pPr>
              <w:spacing w:after="0"/>
            </w:pPr>
            <w:r/>
            <w:r>
              <w:rPr>
                <w:sz w:val="16"/>
              </w:rPr>
              <w:t>Preferred default for high-confidence optimization.</w:t>
            </w:r>
          </w:p>
        </w:tc>
      </w:tr>
      <w:tr>
        <w:tc>
          <w:tcPr>
            <w:tcW w:type="dxa" w:w="2448"/>
            <w:vAlign w:val="center"/>
          </w:tcPr>
          <w:p>
            <w:pPr>
              <w:spacing w:after="0"/>
            </w:pPr>
            <w:r/>
            <w:r>
              <w:rPr>
                <w:sz w:val="16"/>
              </w:rPr>
              <w:t>30–32 days</w:t>
            </w:r>
          </w:p>
        </w:tc>
        <w:tc>
          <w:tcPr>
            <w:tcW w:type="dxa" w:w="7776"/>
            <w:vAlign w:val="center"/>
          </w:tcPr>
          <w:p>
            <w:pPr>
              <w:spacing w:after="0"/>
            </w:pPr>
            <w:r/>
            <w:r>
              <w:rPr>
                <w:sz w:val="16"/>
              </w:rPr>
              <w:t>Best when month-end/monthly cycles materially affect the workload.</w:t>
            </w:r>
          </w:p>
        </w:tc>
      </w:tr>
    </w:tbl>
    <w:p>
      <w:pPr>
        <w:spacing w:after="0"/>
      </w:pPr>
    </w:p>
    <w:p>
      <w:pPr>
        <w:pStyle w:val="Heading1"/>
      </w:pPr>
      <w:r>
        <w:t>10. Final Verified Kentra Algorithm</w:t>
      </w:r>
    </w:p>
    <w:tbl>
      <w:tblPr>
        <w:tblStyle w:val="TableGrid"/>
        <w:tblW w:type="auto" w:w="0"/>
        <w:jc w:val="center"/>
        <w:tblLook w:firstColumn="1" w:firstRow="1" w:lastColumn="0" w:lastRow="0" w:noHBand="0" w:noVBand="1" w:val="04A0"/>
      </w:tblPr>
      <w:tblGrid>
        <w:gridCol w:w="5112"/>
        <w:gridCol w:w="5112"/>
      </w:tblGrid>
      <w:tr>
        <w:tc>
          <w:tcPr>
            <w:tcW w:type="dxa" w:w="648"/>
            <w:shd w:fill="17365D"/>
          </w:tcPr>
          <w:p>
            <w:r/>
            <w:r>
              <w:rPr>
                <w:b/>
                <w:color w:val="FFFFFF"/>
                <w:sz w:val="17"/>
              </w:rPr>
              <w:t>#</w:t>
            </w:r>
          </w:p>
        </w:tc>
        <w:tc>
          <w:tcPr>
            <w:tcW w:type="dxa" w:w="9648"/>
            <w:shd w:fill="17365D"/>
          </w:tcPr>
          <w:p>
            <w:r/>
            <w:r>
              <w:rPr>
                <w:b/>
                <w:color w:val="FFFFFF"/>
                <w:sz w:val="17"/>
              </w:rPr>
              <w:t>Verified decision flow</w:t>
            </w:r>
          </w:p>
        </w:tc>
      </w:tr>
      <w:tr>
        <w:tc>
          <w:tcPr>
            <w:tcW w:type="dxa" w:w="648"/>
            <w:vAlign w:val="center"/>
          </w:tcPr>
          <w:p>
            <w:pPr>
              <w:spacing w:after="0"/>
            </w:pPr>
            <w:r/>
            <w:r>
              <w:rPr>
                <w:sz w:val="16"/>
              </w:rPr>
              <w:t>1</w:t>
            </w:r>
          </w:p>
        </w:tc>
        <w:tc>
          <w:tcPr>
            <w:tcW w:type="dxa" w:w="9648"/>
            <w:vAlign w:val="center"/>
          </w:tcPr>
          <w:p>
            <w:pPr>
              <w:spacing w:after="0"/>
            </w:pPr>
            <w:r/>
            <w:r>
              <w:rPr>
                <w:sz w:val="16"/>
              </w:rPr>
              <w:t>Resolve current SQL Server-visible CPU configuration and class metadata.</w:t>
            </w:r>
          </w:p>
        </w:tc>
      </w:tr>
      <w:tr>
        <w:tc>
          <w:tcPr>
            <w:tcW w:type="dxa" w:w="648"/>
            <w:shd w:fill="F8FAFC"/>
            <w:vAlign w:val="center"/>
          </w:tcPr>
          <w:p>
            <w:pPr>
              <w:spacing w:after="0"/>
            </w:pPr>
            <w:r/>
            <w:r>
              <w:rPr>
                <w:sz w:val="16"/>
              </w:rPr>
              <w:t>2</w:t>
            </w:r>
          </w:p>
        </w:tc>
        <w:tc>
          <w:tcPr>
            <w:tcW w:type="dxa" w:w="9648"/>
            <w:shd w:fill="F8FAFC"/>
            <w:vAlign w:val="center"/>
          </w:tcPr>
          <w:p>
            <w:pPr>
              <w:spacing w:after="0"/>
            </w:pPr>
            <w:r/>
            <w:r>
              <w:rPr>
                <w:sz w:val="16"/>
              </w:rPr>
              <w:t>Validate collection duration, sample continuity, and representativeness.</w:t>
            </w:r>
          </w:p>
        </w:tc>
      </w:tr>
      <w:tr>
        <w:tc>
          <w:tcPr>
            <w:tcW w:type="dxa" w:w="648"/>
            <w:vAlign w:val="center"/>
          </w:tcPr>
          <w:p>
            <w:pPr>
              <w:spacing w:after="0"/>
            </w:pPr>
            <w:r/>
            <w:r>
              <w:rPr>
                <w:sz w:val="16"/>
              </w:rPr>
              <w:t>3</w:t>
            </w:r>
          </w:p>
        </w:tc>
        <w:tc>
          <w:tcPr>
            <w:tcW w:type="dxa" w:w="9648"/>
            <w:vAlign w:val="center"/>
          </w:tcPr>
          <w:p>
            <w:pPr>
              <w:spacing w:after="0"/>
            </w:pPr>
            <w:r/>
            <w:r>
              <w:rPr>
                <w:sz w:val="16"/>
              </w:rPr>
              <w:t>Build synchronized per-sample SQL CPU, Other CPU, memory, user-DB I/O and tempdb I/O series.</w:t>
            </w:r>
          </w:p>
        </w:tc>
      </w:tr>
      <w:tr>
        <w:tc>
          <w:tcPr>
            <w:tcW w:type="dxa" w:w="648"/>
            <w:shd w:fill="F8FAFC"/>
            <w:vAlign w:val="center"/>
          </w:tcPr>
          <w:p>
            <w:pPr>
              <w:spacing w:after="0"/>
            </w:pPr>
            <w:r/>
            <w:r>
              <w:rPr>
                <w:sz w:val="16"/>
              </w:rPr>
              <w:t>4</w:t>
            </w:r>
          </w:p>
        </w:tc>
        <w:tc>
          <w:tcPr>
            <w:tcW w:type="dxa" w:w="9648"/>
            <w:shd w:fill="F8FAFC"/>
            <w:vAlign w:val="center"/>
          </w:tcPr>
          <w:p>
            <w:pPr>
              <w:spacing w:after="0"/>
            </w:pPr>
            <w:r/>
            <w:r>
              <w:rPr>
                <w:sz w:val="16"/>
              </w:rPr>
              <w:t>Generate only currently orderable candidates for Region + SQL edition/version; include Optimize CPU configurations.</w:t>
            </w:r>
          </w:p>
        </w:tc>
      </w:tr>
      <w:tr>
        <w:tc>
          <w:tcPr>
            <w:tcW w:type="dxa" w:w="648"/>
            <w:vAlign w:val="center"/>
          </w:tcPr>
          <w:p>
            <w:pPr>
              <w:spacing w:after="0"/>
            </w:pPr>
            <w:r/>
            <w:r>
              <w:rPr>
                <w:sz w:val="16"/>
              </w:rPr>
              <w:t>5</w:t>
            </w:r>
          </w:p>
        </w:tc>
        <w:tc>
          <w:tcPr>
            <w:tcW w:type="dxa" w:w="9648"/>
            <w:vAlign w:val="center"/>
          </w:tcPr>
          <w:p>
            <w:pPr>
              <w:spacing w:after="0"/>
            </w:pPr>
            <w:r/>
            <w:r>
              <w:rPr>
                <w:sz w:val="16"/>
              </w:rPr>
              <w:t>CPU gate: project SQL/total CPU sample-by-sample. Target P95 ~65–70%; P99/excursions provide burst risk.</w:t>
            </w:r>
          </w:p>
        </w:tc>
      </w:tr>
      <w:tr>
        <w:tc>
          <w:tcPr>
            <w:tcW w:type="dxa" w:w="648"/>
            <w:shd w:fill="F8FAFC"/>
            <w:vAlign w:val="center"/>
          </w:tcPr>
          <w:p>
            <w:pPr>
              <w:spacing w:after="0"/>
            </w:pPr>
            <w:r/>
            <w:r>
              <w:rPr>
                <w:sz w:val="16"/>
              </w:rPr>
              <w:t>6</w:t>
            </w:r>
          </w:p>
        </w:tc>
        <w:tc>
          <w:tcPr>
            <w:tcW w:type="dxa" w:w="9648"/>
            <w:shd w:fill="F8FAFC"/>
            <w:vAlign w:val="center"/>
          </w:tcPr>
          <w:p>
            <w:pPr>
              <w:spacing w:after="0"/>
            </w:pPr>
            <w:r/>
            <w:r>
              <w:rPr>
                <w:sz w:val="16"/>
              </w:rPr>
              <w:t>Memory gate: pressure/working-set analysis; enforce modest six-month headroom, not long-term speculative growth.</w:t>
            </w:r>
          </w:p>
        </w:tc>
      </w:tr>
      <w:tr>
        <w:tc>
          <w:tcPr>
            <w:tcW w:type="dxa" w:w="648"/>
            <w:vAlign w:val="center"/>
          </w:tcPr>
          <w:p>
            <w:pPr>
              <w:spacing w:after="0"/>
            </w:pPr>
            <w:r/>
            <w:r>
              <w:rPr>
                <w:sz w:val="16"/>
              </w:rPr>
              <w:t>7</w:t>
            </w:r>
          </w:p>
        </w:tc>
        <w:tc>
          <w:tcPr>
            <w:tcW w:type="dxa" w:w="9648"/>
            <w:vAlign w:val="center"/>
          </w:tcPr>
          <w:p>
            <w:pPr>
              <w:spacing w:after="0"/>
            </w:pPr>
            <w:r/>
            <w:r>
              <w:rPr>
                <w:sz w:val="16"/>
              </w:rPr>
              <w:t>Memory→I/O coupling check: assess buffer cache hit ratio, Page Reads/sec and related evidence before assuming current ReadIOPS persists after RAM reduction.</w:t>
            </w:r>
          </w:p>
        </w:tc>
      </w:tr>
      <w:tr>
        <w:tc>
          <w:tcPr>
            <w:tcW w:type="dxa" w:w="648"/>
            <w:shd w:fill="F8FAFC"/>
            <w:vAlign w:val="center"/>
          </w:tcPr>
          <w:p>
            <w:pPr>
              <w:spacing w:after="0"/>
            </w:pPr>
            <w:r/>
            <w:r>
              <w:rPr>
                <w:sz w:val="16"/>
              </w:rPr>
              <w:t>8</w:t>
            </w:r>
          </w:p>
        </w:tc>
        <w:tc>
          <w:tcPr>
            <w:tcW w:type="dxa" w:w="9648"/>
            <w:shd w:fill="F8FAFC"/>
            <w:vAlign w:val="center"/>
          </w:tcPr>
          <w:p>
            <w:pPr>
              <w:spacing w:after="0"/>
            </w:pPr>
            <w:r/>
            <w:r>
              <w:rPr>
                <w:sz w:val="16"/>
              </w:rPr>
              <w:t>Map tempdb per candidate: local NVMe or normal storage path.</w:t>
            </w:r>
          </w:p>
        </w:tc>
      </w:tr>
      <w:tr>
        <w:tc>
          <w:tcPr>
            <w:tcW w:type="dxa" w:w="648"/>
            <w:vAlign w:val="center"/>
          </w:tcPr>
          <w:p>
            <w:pPr>
              <w:spacing w:after="0"/>
            </w:pPr>
            <w:r/>
            <w:r>
              <w:rPr>
                <w:sz w:val="16"/>
              </w:rPr>
              <w:t>9</w:t>
            </w:r>
          </w:p>
        </w:tc>
        <w:tc>
          <w:tcPr>
            <w:tcW w:type="dxa" w:w="9648"/>
            <w:vAlign w:val="center"/>
          </w:tcPr>
          <w:p>
            <w:pPr>
              <w:spacing w:after="0"/>
            </w:pPr>
            <w:r/>
            <w:r>
              <w:rPr>
                <w:sz w:val="16"/>
              </w:rPr>
              <w:t>IOPS gate: P95 vs sustainable/baseline capability; P99 vs burst maximum and observed burst duration.</w:t>
            </w:r>
          </w:p>
        </w:tc>
      </w:tr>
      <w:tr>
        <w:tc>
          <w:tcPr>
            <w:tcW w:type="dxa" w:w="648"/>
            <w:shd w:fill="F8FAFC"/>
            <w:vAlign w:val="center"/>
          </w:tcPr>
          <w:p>
            <w:pPr>
              <w:spacing w:after="0"/>
            </w:pPr>
            <w:r/>
            <w:r>
              <w:rPr>
                <w:sz w:val="16"/>
              </w:rPr>
              <w:t>10</w:t>
            </w:r>
          </w:p>
        </w:tc>
        <w:tc>
          <w:tcPr>
            <w:tcW w:type="dxa" w:w="9648"/>
            <w:shd w:fill="F8FAFC"/>
            <w:vAlign w:val="center"/>
          </w:tcPr>
          <w:p>
            <w:pPr>
              <w:spacing w:after="0"/>
            </w:pPr>
            <w:r/>
            <w:r>
              <w:rPr>
                <w:sz w:val="16"/>
              </w:rPr>
              <w:t>Throughput gate: same baseline/burst treatment independently of IOPS.</w:t>
            </w:r>
          </w:p>
        </w:tc>
      </w:tr>
      <w:tr>
        <w:tc>
          <w:tcPr>
            <w:tcW w:type="dxa" w:w="648"/>
            <w:vAlign w:val="center"/>
          </w:tcPr>
          <w:p>
            <w:pPr>
              <w:spacing w:after="0"/>
            </w:pPr>
            <w:r/>
            <w:r>
              <w:rPr>
                <w:sz w:val="16"/>
              </w:rPr>
              <w:t>11</w:t>
            </w:r>
          </w:p>
        </w:tc>
        <w:tc>
          <w:tcPr>
            <w:tcW w:type="dxa" w:w="9648"/>
            <w:vAlign w:val="center"/>
          </w:tcPr>
          <w:p>
            <w:pPr>
              <w:spacing w:after="0"/>
            </w:pPr>
            <w:r/>
            <w:r>
              <w:rPr>
                <w:sz w:val="16"/>
              </w:rPr>
              <w:t>For NVMe targets, hard-check tempdb space capacity; treat extreme tempdb I/O as a risk/confidence factor.</w:t>
            </w:r>
          </w:p>
        </w:tc>
      </w:tr>
      <w:tr>
        <w:tc>
          <w:tcPr>
            <w:tcW w:type="dxa" w:w="648"/>
            <w:shd w:fill="F8FAFC"/>
            <w:vAlign w:val="center"/>
          </w:tcPr>
          <w:p>
            <w:pPr>
              <w:spacing w:after="0"/>
            </w:pPr>
            <w:r/>
            <w:r>
              <w:rPr>
                <w:sz w:val="16"/>
              </w:rPr>
              <w:t>12</w:t>
            </w:r>
          </w:p>
        </w:tc>
        <w:tc>
          <w:tcPr>
            <w:tcW w:type="dxa" w:w="9648"/>
            <w:shd w:fill="F8FAFC"/>
            <w:vAlign w:val="center"/>
          </w:tcPr>
          <w:p>
            <w:pPr>
              <w:spacing w:after="0"/>
            </w:pPr>
            <w:r/>
            <w:r>
              <w:rPr>
                <w:sz w:val="16"/>
              </w:rPr>
              <w:t>For Enterprise→Standard, enforce feature + vendor + version-specific Standard scale limits and flag migration requirement.</w:t>
            </w:r>
          </w:p>
        </w:tc>
      </w:tr>
      <w:tr>
        <w:tc>
          <w:tcPr>
            <w:tcW w:type="dxa" w:w="648"/>
            <w:vAlign w:val="center"/>
          </w:tcPr>
          <w:p>
            <w:pPr>
              <w:spacing w:after="0"/>
            </w:pPr>
            <w:r/>
            <w:r>
              <w:rPr>
                <w:sz w:val="16"/>
              </w:rPr>
              <w:t>13</w:t>
            </w:r>
          </w:p>
        </w:tc>
        <w:tc>
          <w:tcPr>
            <w:tcW w:type="dxa" w:w="9648"/>
            <w:vAlign w:val="center"/>
          </w:tcPr>
          <w:p>
            <w:pPr>
              <w:spacing w:after="0"/>
            </w:pPr>
            <w:r/>
            <w:r>
              <w:rPr>
                <w:sz w:val="16"/>
              </w:rPr>
              <w:t>Return Recommended / Aggressive Optimization / Not Recommended plus confidence and limiting resource.</w:t>
            </w:r>
          </w:p>
        </w:tc>
      </w:tr>
    </w:tbl>
    <w:p>
      <w:pPr>
        <w:spacing w:after="0"/>
      </w:pPr>
    </w:p>
    <w:p>
      <w:pPr>
        <w:pStyle w:val="Heading1"/>
      </w:pPr>
      <w:r>
        <w:t>11. Final Assessment</w:t>
      </w:r>
    </w:p>
    <w:tbl>
      <w:tblPr>
        <w:tblStyle w:val="TableGrid"/>
        <w:tblW w:type="auto" w:w="0"/>
        <w:tblLook w:firstColumn="1" w:firstRow="1" w:lastColumn="0" w:lastRow="0" w:noHBand="0" w:noVBand="1" w:val="04A0"/>
      </w:tblPr>
      <w:tblGrid>
        <w:gridCol w:w="10224"/>
      </w:tblGrid>
      <w:tr>
        <w:tc>
          <w:tcPr>
            <w:tcW w:type="dxa" w:w="10224"/>
            <w:shd w:fill="E2F0D9"/>
          </w:tcPr>
          <w:p>
            <w:pPr>
              <w:spacing w:after="0"/>
            </w:pPr>
            <w:r>
              <w:rPr>
                <w:b/>
                <w:color w:val="17365D"/>
                <w:sz w:val="20"/>
              </w:rPr>
              <w:t>Overall score: Production design ~9/10 after the refinements above</w:t>
              <w:br/>
            </w:r>
            <w:r>
              <w:rPr>
                <w:sz w:val="18"/>
              </w:rPr>
              <w:t>The architecture is not overly conservative and not recklessly aggressive. It is appropriately optimization-oriented for a six-month RDS SQL Server horizon. The strongest parts are SQL-driven CPU sizing, P95 targeting, sample-level concurrency, pressure-based memory analysis, and candidate-aware tempdb/NVMe mapping. The biggest risks in the original V1 were comparing I/O only to maximum instance capability, treating memory and I/O as independent, and using generic vCPU metadata on newer SQL Server RDS families.</w:t>
            </w:r>
          </w:p>
        </w:tc>
      </w:tr>
    </w:tbl>
    <w:p>
      <w:pPr>
        <w:spacing w:after="0"/>
      </w:pPr>
    </w:p>
    <w:p>
      <w:pPr>
        <w:pStyle w:val="Heading1"/>
      </w:pPr>
      <w:r>
        <w:t>12. Authoritative Evidence Used</w:t>
      </w:r>
    </w:p>
    <w:p>
      <w:pPr>
        <w:spacing w:after="80"/>
      </w:pPr>
      <w:r>
        <w:rPr>
          <w:b/>
          <w:color w:val="17365D"/>
        </w:rPr>
        <w:t>AWS RDS SQL Server Migration &amp; Cost Management Best Practices (2022)</w:t>
      </w:r>
      <w:r>
        <w:br/>
        <w:t>AWS SQL Server specialists recommend targeting RDS CPU up to 65–70% at P95 and leveraging memory-optimized instances/tempdb considerations.</w:t>
        <w:br/>
        <w:t>https://pages.awscloud.com/rs/112-TZM-766/images/DMWQ1D1S1T2_RDS%20SQL%20Server%20Migration%20%26%20Cost%20Management%20Best%20Practices.pdf</w:t>
      </w:r>
    </w:p>
    <w:p>
      <w:pPr>
        <w:spacing w:after="80"/>
      </w:pPr>
      <w:r>
        <w:rPr>
          <w:b/>
          <w:color w:val="17365D"/>
        </w:rPr>
        <w:t>AWS Optimize CPUs for RDS for SQL Server</w:t>
      </w:r>
      <w:r>
        <w:br/>
        <w:t>Optimize CPU changes vCPU while maintaining the same memory and IOPS; documents supported editions/families.</w:t>
        <w:br/>
        <w:t>https://docs.aws.amazon.com/AmazonRDS/latest/UserGuide/SQLServer.Concepts.General.OptimizeCPU.html</w:t>
      </w:r>
    </w:p>
    <w:p>
      <w:pPr>
        <w:spacing w:after="80"/>
      </w:pPr>
      <w:r>
        <w:rPr>
          <w:b/>
          <w:color w:val="17365D"/>
        </w:rPr>
        <w:t>AWS DB instance classes that support Optimize CPU</w:t>
      </w:r>
      <w:r>
        <w:br/>
        <w:t>Authoritative SQL Server-specific default/valid vCPU, core and threads-per-core metadata.</w:t>
        <w:br/>
        <w:t>https://docs.aws.amazon.com/AmazonRDS/latest/UserGuide/SQLServer.Concepts.General.OptimizeCPU.Support.html</w:t>
      </w:r>
    </w:p>
    <w:p>
      <w:pPr>
        <w:spacing w:after="80"/>
      </w:pPr>
      <w:r>
        <w:rPr>
          <w:b/>
          <w:color w:val="17365D"/>
        </w:rPr>
        <w:t>AWS RDS SQL Server instance store/tempdb</w:t>
      </w:r>
      <w:r>
        <w:br/>
        <w:t>Documents automatic tempdb placement on local NVMe for supported classes and capacity/full-disk behavior.</w:t>
        <w:br/>
        <w:t>https://docs.aws.amazon.com/AmazonRDS/latest/UserGuide/SQLServer.InstanceStore.html</w:t>
      </w:r>
    </w:p>
    <w:p>
      <w:pPr>
        <w:spacing w:after="80"/>
      </w:pPr>
      <w:r>
        <w:rPr>
          <w:b/>
          <w:color w:val="17365D"/>
        </w:rPr>
        <w:t>AWS Hardware specifications for DB instance classes</w:t>
      </w:r>
      <w:r>
        <w:br/>
        <w:t>Documents DB-class EBS bandwidth, instance-level IOPS enforcement and burst caveats on smaller classes.</w:t>
        <w:br/>
        <w:t>https://docs.aws.amazon.com/AmazonRDS/latest/UserGuide/Concepts.DBInstanceClass.Summary.html</w:t>
      </w:r>
    </w:p>
    <w:p>
      <w:pPr>
        <w:spacing w:after="80"/>
      </w:pPr>
      <w:r>
        <w:rPr>
          <w:b/>
          <w:color w:val="17365D"/>
        </w:rPr>
        <w:t>AWS RDS best practices</w:t>
      </w:r>
      <w:r>
        <w:br/>
        <w:t>Recommends enough RAM for the working set; ReadIOPS under load helps determine whether it resides in memory.</w:t>
        <w:br/>
        <w:t>https://docs.aws.amazon.com/AmazonRDS/latest/UserGuide/CHAP_BestPractices.html</w:t>
      </w:r>
    </w:p>
    <w:p>
      <w:pPr>
        <w:spacing w:after="80"/>
      </w:pPr>
      <w:r>
        <w:rPr>
          <w:b/>
          <w:color w:val="17365D"/>
        </w:rPr>
        <w:t>AWS DescribeOrderableDBInstanceOptions</w:t>
      </w:r>
      <w:r>
        <w:br/>
        <w:t>Dynamic source for orderable SQL Server class/version/edition options and processor capabilities.</w:t>
        <w:br/>
        <w:t>https://docs.aws.amazon.com/AmazonRDS/latest/APIReference/API_DescribeOrderableDBInstanceOptions.html</w:t>
      </w:r>
    </w:p>
    <w:p>
      <w:pPr>
        <w:spacing w:after="80"/>
      </w:pPr>
      <w:r>
        <w:rPr>
          <w:b/>
          <w:color w:val="17365D"/>
        </w:rPr>
        <w:t>AWS Compute Optimizer RDS requirements/support</w:t>
      </w:r>
      <w:r>
        <w:br/>
        <w:t>Documents RDS rightsizing scope and lookback behavior; current RDS SQL Server gap is material to Kentra.</w:t>
        <w:br/>
        <w:t>https://docs.aws.amazon.com/compute-optimizer/latest/ug/requirements.html</w:t>
      </w:r>
    </w:p>
    <w:p>
      <w:pPr>
        <w:spacing w:after="80"/>
      </w:pPr>
      <w:r>
        <w:rPr>
          <w:b/>
          <w:color w:val="17365D"/>
        </w:rPr>
        <w:t>Microsoft SQL Server memory troubleshooting</w:t>
      </w:r>
      <w:r>
        <w:br/>
        <w:t>Explains buffer-cache growth, memory-pressure diagnostics, memory grants and process-memory behavior.</w:t>
        <w:br/>
        <w:t>https://learn.microsoft.com/en-us/troubleshoot/sql/database-engine/performance/troubleshoot-memory-issues</w:t>
      </w:r>
    </w:p>
    <w:p>
      <w:pPr>
        <w:spacing w:after="80"/>
      </w:pPr>
      <w:r>
        <w:rPr>
          <w:b/>
          <w:color w:val="17365D"/>
        </w:rPr>
        <w:t>Microsoft Monitor Memory Usage</w:t>
      </w:r>
      <w:r>
        <w:br/>
        <w:t>Defines committed/target memory, process physical-memory flags and NUMA-aware PLE monitoring.</w:t>
        <w:br/>
        <w:t>https://learn.microsoft.com/sql/relational-databases/performance-monitor/monitor-memory-usage</w:t>
      </w:r>
    </w:p>
    <w:p>
      <w:pPr>
        <w:spacing w:after="80"/>
      </w:pPr>
      <w:r>
        <w:rPr>
          <w:b/>
          <w:color w:val="17365D"/>
        </w:rPr>
        <w:t>Microsoft sys.dm_io_virtual_file_stats</w:t>
      </w:r>
      <w:r>
        <w:br/>
        <w:t>Defines cumulative per-file physical read/write, bytes and stall counters.</w:t>
        <w:br/>
        <w:t>https://learn.microsoft.com/sql/relational-databases/system-dynamic-management-views/sys-dm-io-virtual-file-stats-transact-sql</w:t>
      </w:r>
    </w:p>
    <w:p>
      <w:pPr>
        <w:spacing w:after="80"/>
      </w:pPr>
      <w:r>
        <w:rPr>
          <w:b/>
          <w:color w:val="17365D"/>
        </w:rPr>
        <w:t>Microsoft SQL Server 2022 editions/features</w:t>
      </w:r>
      <w:r>
        <w:br/>
        <w:t>Documents Standard Edition compute and memory scale limits.</w:t>
        <w:br/>
        <w:t>https://learn.microsoft.com/sql/sql-server/editions-and-components-of-sql-server-2022</w:t>
      </w:r>
    </w:p>
    <w:p>
      <w:pPr>
        <w:spacing w:after="80"/>
      </w:pPr>
      <w:r>
        <w:rPr>
          <w:b/>
          <w:color w:val="17365D"/>
        </w:rPr>
        <w:t>AWS Prescriptive Guidance: downgrade Enterprise to Standard</w:t>
      </w:r>
      <w:r>
        <w:br/>
        <w:t>Documents compatibility assessment and RDS migration approaches for an edition downgrade.</w:t>
        <w:br/>
        <w:t>https://docs.aws.amazon.com/prescriptive-guidance/latest/evaluate-downgrading-sql-server-edition/introduction.html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Kentra | RDS for SQL Server Instance Optimization | Industry-Verified Technical Specification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Kentra RDS SQL Server Instance Optimization — Industry-Verified Technical Specification v1.1</dc:title>
  <dc:subject/>
  <dc:creator>Kentra</dc:creator>
  <cp:keywords/>
  <dc:description>generated by python-docx</dc:description>
  <cp:lastModifiedBy/>
  <cp:revision>1</cp:revision>
  <dcterms:created xsi:type="dcterms:W3CDTF">2013-12-23T23:15:00Z</dcterms:created>
  <dcterms:modified xsi:type="dcterms:W3CDTF">2013-12-23T23:15:00Z</dcterms:modified>
  <cp:category/>
</cp:coreProperties>
</file>