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2280F" w14:textId="77777777" w:rsidR="00F62663" w:rsidRDefault="00CA1A04">
      <w:pPr>
        <w:pStyle w:val="Heading"/>
      </w:pPr>
      <w:r>
        <w:t>Profile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74493F88" wp14:editId="39173E2A">
            <wp:simplePos x="0" y="0"/>
            <wp:positionH relativeFrom="margin">
              <wp:posOffset>3600689</wp:posOffset>
            </wp:positionH>
            <wp:positionV relativeFrom="page">
              <wp:posOffset>631933</wp:posOffset>
            </wp:positionV>
            <wp:extent cx="1412960" cy="12349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file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2960" cy="12349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1E7A09E" w14:textId="77777777" w:rsidR="00F62663" w:rsidRDefault="00CA1A04">
      <w:pPr>
        <w:pStyle w:val="Body"/>
      </w:pPr>
      <w:r>
        <w:t xml:space="preserve">Accomplished Fund Admin Senior Officer who has a history in servicing and managing segregated clients’ accounts which its investment portfolios include fixed-income securities, equities, RQFII and structured financial products such as RMBS and </w:t>
      </w:r>
      <w:r>
        <w:t>syndicated loans. Adept at working within deadlines and liaising with local office and third-party service providers to prepare and deliver annual and interim sets of reports to clients.</w:t>
      </w:r>
    </w:p>
    <w:p w14:paraId="7E0986B7" w14:textId="77777777" w:rsidR="00F62663" w:rsidRDefault="00F62663">
      <w:pPr>
        <w:pStyle w:val="Body"/>
      </w:pPr>
    </w:p>
    <w:p w14:paraId="4E8218F5" w14:textId="77777777" w:rsidR="00F62663" w:rsidRDefault="00CA1A04">
      <w:pPr>
        <w:pStyle w:val="Heading"/>
      </w:pPr>
      <w:r>
        <w:t>Experience</w:t>
      </w:r>
    </w:p>
    <w:p w14:paraId="70046038" w14:textId="77777777" w:rsidR="00F62663" w:rsidRDefault="00CA1A04">
      <w:pPr>
        <w:pStyle w:val="Subheading"/>
      </w:pPr>
      <w:r>
        <w:t>Fund Admin Senior officer — march 2012 - October 2016</w:t>
      </w:r>
    </w:p>
    <w:p w14:paraId="72EC2FCA" w14:textId="77777777" w:rsidR="00F62663" w:rsidRDefault="00CA1A04">
      <w:pPr>
        <w:pStyle w:val="Body"/>
        <w:rPr>
          <w:b/>
          <w:bCs/>
          <w:color w:val="7A7A7A"/>
          <w:sz w:val="16"/>
          <w:szCs w:val="16"/>
        </w:rPr>
      </w:pPr>
      <w:r>
        <w:rPr>
          <w:b/>
          <w:bCs/>
          <w:color w:val="7A7A7A"/>
          <w:sz w:val="16"/>
          <w:szCs w:val="16"/>
        </w:rPr>
        <w:t xml:space="preserve">ST </w:t>
      </w:r>
      <w:r>
        <w:rPr>
          <w:b/>
          <w:bCs/>
          <w:color w:val="7A7A7A"/>
          <w:sz w:val="16"/>
          <w:szCs w:val="16"/>
        </w:rPr>
        <w:t>ASSET MANAGEMENT LTD (wholly owned by Temasek Holdings (Private) Limited)</w:t>
      </w:r>
    </w:p>
    <w:p w14:paraId="69F24481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  <w:rPr>
          <w:color w:val="202020"/>
        </w:rPr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Process trades for timely settlement across various clearing houses (i.e. Clearstream/Euroclear, DTC, European local markets, QFII and Shanghai-Hong Kong Stock Connect)</w:t>
      </w:r>
    </w:p>
    <w:p w14:paraId="0E3AE6E7" w14:textId="77777777" w:rsidR="00F62663" w:rsidRDefault="00CA1A04">
      <w:pPr>
        <w:pStyle w:val="FreeForm"/>
        <w:numPr>
          <w:ilvl w:val="1"/>
          <w:numId w:val="2"/>
        </w:numPr>
        <w:spacing w:after="0"/>
        <w:rPr>
          <w:color w:val="202020"/>
        </w:rPr>
      </w:pPr>
      <w:r>
        <w:rPr>
          <w:color w:val="202020"/>
        </w:rPr>
        <w:tab/>
        <w:t>Liaise wi</w:t>
      </w:r>
      <w:r>
        <w:rPr>
          <w:color w:val="202020"/>
        </w:rPr>
        <w:t>th various brokers and custodian banks to resolve dealing-related</w:t>
      </w:r>
    </w:p>
    <w:p w14:paraId="04B8DDD3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1440" w:hanging="720"/>
        <w:rPr>
          <w:color w:val="202020"/>
        </w:rPr>
      </w:pPr>
      <w:r>
        <w:rPr>
          <w:color w:val="202020"/>
        </w:rPr>
        <w:t>enquiries by emails and by phone</w:t>
      </w:r>
    </w:p>
    <w:p w14:paraId="43229A14" w14:textId="77777777" w:rsidR="00F62663" w:rsidRDefault="00CA1A04">
      <w:pPr>
        <w:pStyle w:val="FreeForm"/>
        <w:numPr>
          <w:ilvl w:val="1"/>
          <w:numId w:val="2"/>
        </w:numPr>
        <w:spacing w:after="0"/>
        <w:rPr>
          <w:color w:val="202020"/>
        </w:rPr>
      </w:pPr>
      <w:r>
        <w:rPr>
          <w:color w:val="202020"/>
        </w:rPr>
        <w:t xml:space="preserve">      Prepares weekly investment reports </w:t>
      </w:r>
    </w:p>
    <w:p w14:paraId="217DD479" w14:textId="77777777" w:rsidR="00F62663" w:rsidRDefault="00CA1A04">
      <w:pPr>
        <w:pStyle w:val="FreeForm"/>
        <w:numPr>
          <w:ilvl w:val="1"/>
          <w:numId w:val="2"/>
        </w:numPr>
        <w:spacing w:after="0"/>
        <w:rPr>
          <w:color w:val="202020"/>
        </w:rPr>
      </w:pPr>
      <w:r>
        <w:rPr>
          <w:color w:val="202020"/>
        </w:rPr>
        <w:tab/>
        <w:t>Ensuring securities’ prices and cash activities are reconciled correctly in</w:t>
      </w:r>
    </w:p>
    <w:p w14:paraId="734CEC50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1440" w:hanging="720"/>
      </w:pPr>
      <w:r>
        <w:rPr>
          <w:color w:val="202020"/>
        </w:rPr>
        <w:t>month-end NAV reports</w:t>
      </w:r>
    </w:p>
    <w:p w14:paraId="6912A867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 xml:space="preserve">Distributing </w:t>
      </w:r>
      <w:r>
        <w:rPr>
          <w:color w:val="202020"/>
        </w:rPr>
        <w:t>month-end and year-end NAV rep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4BB8B18A" wp14:editId="077FE4A3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0pt;margin-top:103.0pt;width:35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7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072EB19" wp14:editId="63B20C86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3175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BB04B01" w14:textId="77777777" w:rsidR="00F62663" w:rsidRDefault="00CA1A04">
                            <w:pPr>
                              <w:pStyle w:val="Heading"/>
                            </w:pPr>
                            <w:r>
                              <w:t>Stephanie Tan Li Fen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2EB19" id="officeArt object" o:spid="_x0000_s1026" style="position:absolute;left:0;text-align:left;margin-left:110pt;margin-top:100pt;width:395pt;height:2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" filled="f" stroked="f" strokeweight="1pt">
                <v:stroke miterlimit="4"/>
                <v:textbox inset="0,0,0,0">
                  <w:txbxContent>
                    <w:p w14:paraId="4BB04B01" w14:textId="77777777" w:rsidR="00F62663" w:rsidRDefault="00CA1A04">
                      <w:pPr>
                        <w:pStyle w:val="Heading"/>
                      </w:pPr>
                      <w:r>
                        <w:t>Stephanie Tan Li Fen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09766D8" wp14:editId="0B51311B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016500" cy="1651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65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788F4B2" w14:textId="77777777" w:rsidR="00F62663" w:rsidRDefault="00CA1A04">
                            <w:pPr>
                              <w:pStyle w:val="ContactInformation"/>
                            </w:pPr>
                            <w:r>
                              <w:t xml:space="preserve">+65 8157 8905      |       stephanietanlf@gmail.com 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766D8" id="_x0000_s1027" style="position:absolute;left:0;text-align:left;margin-left:110pt;margin-top:134pt;width:395pt;height:1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14:paraId="6788F4B2" w14:textId="77777777" w:rsidR="00F62663" w:rsidRDefault="00CA1A04">
                      <w:pPr>
                        <w:pStyle w:val="ContactInformation"/>
                      </w:pPr>
                      <w:r>
                        <w:t xml:space="preserve">+65 8157 8905      |       stephanietanlf@gmail.com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olor w:val="202020"/>
        </w:rPr>
        <w:t>orts</w:t>
      </w:r>
    </w:p>
    <w:p w14:paraId="0BD374A0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  <w:rPr>
          <w:color w:val="202020"/>
        </w:rPr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Process cash deposits, foreign exchanges and fund transfers</w:t>
      </w:r>
    </w:p>
    <w:p w14:paraId="4A2DE59B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Open trading, custody and cash accounts with brokers and custodian b</w:t>
      </w:r>
      <w:r>
        <w:rPr>
          <w:color w:val="202020"/>
        </w:rPr>
        <w:t>anks</w:t>
      </w:r>
    </w:p>
    <w:p w14:paraId="5DCE5016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Inform brokers and banks any updates on administrative details such as change of authorized dealers, settlement instructions and directors</w:t>
      </w:r>
      <w:r>
        <w:rPr>
          <w:color w:val="202020"/>
        </w:rPr>
        <w:t xml:space="preserve">’ </w:t>
      </w:r>
      <w:r>
        <w:rPr>
          <w:color w:val="202020"/>
        </w:rPr>
        <w:t>resolutions</w:t>
      </w:r>
    </w:p>
    <w:p w14:paraId="4EE34198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Calculations of fund administrative fees (management, custody, accruals, fund services and et</w:t>
      </w:r>
      <w:r>
        <w:rPr>
          <w:color w:val="202020"/>
        </w:rPr>
        <w:t>c.)</w:t>
      </w:r>
    </w:p>
    <w:p w14:paraId="7F5849BE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Ensure all transactions done are properly filed for record keeping</w:t>
      </w:r>
    </w:p>
    <w:p w14:paraId="791202F1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Process opening and closure of segregated clients</w:t>
      </w:r>
      <w:r>
        <w:rPr>
          <w:color w:val="202020"/>
        </w:rPr>
        <w:t xml:space="preserve">’ </w:t>
      </w:r>
      <w:r>
        <w:rPr>
          <w:color w:val="202020"/>
        </w:rPr>
        <w:t>accounts and broker trading accounts</w:t>
      </w:r>
    </w:p>
    <w:p w14:paraId="4307E0BF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 xml:space="preserve">Obtain securities’ prices from various sources </w:t>
      </w:r>
      <w:r>
        <w:rPr>
          <w:color w:val="202020"/>
        </w:rPr>
        <w:t xml:space="preserve">(i.e brokers and pricing vendors) </w:t>
      </w:r>
      <w:r>
        <w:t>if indicative valuations are not available at Bloomberg</w:t>
      </w:r>
    </w:p>
    <w:p w14:paraId="2045C958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Disseminate any Corporate Actions (CA) to f</w:t>
      </w:r>
      <w:r>
        <w:rPr>
          <w:color w:val="202020"/>
          <w:lang w:val="de-DE"/>
        </w:rPr>
        <w:t xml:space="preserve">und </w:t>
      </w:r>
      <w:r>
        <w:rPr>
          <w:color w:val="202020"/>
        </w:rPr>
        <w:t>managers and/or analysts daily</w:t>
      </w:r>
    </w:p>
    <w:p w14:paraId="3049F329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>Ensure CA responses are sent to custodian banks for processes</w:t>
      </w:r>
    </w:p>
    <w:p w14:paraId="20023C98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color w:val="202020"/>
        </w:rPr>
        <w:tab/>
        <w:t>•</w:t>
      </w:r>
      <w:r>
        <w:rPr>
          <w:color w:val="202020"/>
        </w:rPr>
        <w:tab/>
      </w:r>
      <w:r>
        <w:rPr>
          <w:color w:val="202020"/>
        </w:rPr>
        <w:t xml:space="preserve">Ensure </w:t>
      </w:r>
      <w:r>
        <w:rPr>
          <w:color w:val="202020"/>
        </w:rPr>
        <w:t>coupon/dividend payments received punctually and liaise with custodian banks and/or brokers if payments are deferred</w:t>
      </w:r>
    </w:p>
    <w:p w14:paraId="10DB5EC0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tab/>
      </w:r>
      <w:r>
        <w:rPr>
          <w:color w:val="202020"/>
        </w:rPr>
        <w:t>•</w:t>
      </w:r>
      <w:r>
        <w:rPr>
          <w:color w:val="202020"/>
        </w:rPr>
        <w:tab/>
      </w:r>
      <w:r>
        <w:rPr>
          <w:color w:val="202020"/>
        </w:rPr>
        <w:t>Monitor the investment discretionary limits for certain clients’ accounts</w:t>
      </w:r>
      <w:r>
        <w:rPr>
          <w:color w:val="202020"/>
        </w:rPr>
        <w:tab/>
      </w:r>
      <w:r>
        <w:rPr>
          <w:color w:val="202020"/>
        </w:rPr>
        <w:br w:type="page"/>
      </w:r>
    </w:p>
    <w:p w14:paraId="4ACEA2D2" w14:textId="77777777" w:rsidR="00F62663" w:rsidRDefault="00CA1A04">
      <w:pPr>
        <w:pStyle w:val="FreeForm"/>
        <w:tabs>
          <w:tab w:val="left" w:pos="220"/>
          <w:tab w:val="left" w:pos="720"/>
        </w:tabs>
        <w:spacing w:after="0"/>
        <w:ind w:left="720" w:hanging="720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4D59AF8" wp14:editId="51A704D8">
                <wp:simplePos x="0" y="0"/>
                <wp:positionH relativeFrom="page">
                  <wp:posOffset>1389173</wp:posOffset>
                </wp:positionH>
                <wp:positionV relativeFrom="page">
                  <wp:posOffset>872145</wp:posOffset>
                </wp:positionV>
                <wp:extent cx="5020000" cy="135300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000" cy="13530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9768A6" w14:textId="77777777" w:rsidR="00F62663" w:rsidRDefault="00CA1A04">
                            <w:pPr>
                              <w:pStyle w:val="Heading"/>
                            </w:pPr>
                            <w:r>
                              <w:t>Education</w:t>
                            </w:r>
                          </w:p>
                          <w:p w14:paraId="21967F26" w14:textId="77777777" w:rsidR="00F62663" w:rsidRDefault="00CA1A04">
                            <w:pPr>
                              <w:pStyle w:val="Body"/>
                              <w:spacing w:after="0"/>
                            </w:pPr>
                            <w:r>
                              <w:t>University of London (Lead college: London Scho</w:t>
                            </w:r>
                            <w:r>
                              <w:t>ol of Economics and Political Science)</w:t>
                            </w:r>
                          </w:p>
                          <w:p w14:paraId="25989C4A" w14:textId="77777777" w:rsidR="00F62663" w:rsidRDefault="00CA1A04">
                            <w:pPr>
                              <w:pStyle w:val="Body"/>
                              <w:spacing w:after="0"/>
                            </w:pPr>
                            <w:r>
                              <w:t>Bachelor of Science in Business and Management - 2012 - 2016</w:t>
                            </w:r>
                          </w:p>
                          <w:p w14:paraId="6AB0814C" w14:textId="77777777" w:rsidR="00F62663" w:rsidRDefault="00F62663"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</w:tabs>
                              <w:rPr>
                                <w:rFonts w:ascii="Avenir Next" w:eastAsia="Avenir Next" w:hAnsi="Avenir Next" w:cs="Avenir Next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05D2637" w14:textId="77777777" w:rsidR="00F62663" w:rsidRDefault="00CA1A04">
                            <w:pPr>
                              <w:pStyle w:val="Body"/>
                              <w:spacing w:after="0"/>
                            </w:pPr>
                            <w:r>
                              <w:t>Nanyang Polytechnic</w:t>
                            </w:r>
                          </w:p>
                          <w:p w14:paraId="608FCB25" w14:textId="77777777" w:rsidR="00F62663" w:rsidRDefault="00CA1A04">
                            <w:pPr>
                              <w:pStyle w:val="Body"/>
                              <w:spacing w:after="0"/>
                            </w:pPr>
                            <w:r>
                              <w:t>Diploma in Fund Management and Administration - 2009 - 2012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59AF8" id="_x0000_s1028" style="position:absolute;left:0;text-align:left;margin-left:109.4pt;margin-top:68.65pt;width:395.3pt;height:106.5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" filled="f" stroked="f" strokeweight="1pt">
                <v:stroke miterlimit="4"/>
                <v:textbox inset="0,0,0,0">
                  <w:txbxContent>
                    <w:p w14:paraId="4E9768A6" w14:textId="77777777" w:rsidR="00F62663" w:rsidRDefault="00CA1A04">
                      <w:pPr>
                        <w:pStyle w:val="Heading"/>
                      </w:pPr>
                      <w:r>
                        <w:t>Education</w:t>
                      </w:r>
                    </w:p>
                    <w:p w14:paraId="21967F26" w14:textId="77777777" w:rsidR="00F62663" w:rsidRDefault="00CA1A04">
                      <w:pPr>
                        <w:pStyle w:val="Body"/>
                        <w:spacing w:after="0"/>
                      </w:pPr>
                      <w:r>
                        <w:t>University of London (Lead college: London Scho</w:t>
                      </w:r>
                      <w:r>
                        <w:t>ol of Economics and Political Science)</w:t>
                      </w:r>
                    </w:p>
                    <w:p w14:paraId="25989C4A" w14:textId="77777777" w:rsidR="00F62663" w:rsidRDefault="00CA1A04">
                      <w:pPr>
                        <w:pStyle w:val="Body"/>
                        <w:spacing w:after="0"/>
                      </w:pPr>
                      <w:r>
                        <w:t>Bachelor of Science in Business and Management - 2012 - 2016</w:t>
                      </w:r>
                    </w:p>
                    <w:p w14:paraId="6AB0814C" w14:textId="77777777" w:rsidR="00F62663" w:rsidRDefault="00F62663"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</w:tabs>
                        <w:rPr>
                          <w:rFonts w:ascii="Avenir Next" w:eastAsia="Avenir Next" w:hAnsi="Avenir Next" w:cs="Avenir Next"/>
                          <w:color w:val="000000"/>
                          <w:sz w:val="20"/>
                          <w:szCs w:val="20"/>
                        </w:rPr>
                      </w:pPr>
                    </w:p>
                    <w:p w14:paraId="105D2637" w14:textId="77777777" w:rsidR="00F62663" w:rsidRDefault="00CA1A04">
                      <w:pPr>
                        <w:pStyle w:val="Body"/>
                        <w:spacing w:after="0"/>
                      </w:pPr>
                      <w:r>
                        <w:t>Nanyang Polytechnic</w:t>
                      </w:r>
                    </w:p>
                    <w:p w14:paraId="608FCB25" w14:textId="77777777" w:rsidR="00F62663" w:rsidRDefault="00CA1A04">
                      <w:pPr>
                        <w:pStyle w:val="Body"/>
                        <w:spacing w:after="0"/>
                      </w:pPr>
                      <w:r>
                        <w:t>Diploma in Fund Management and Administration - 2009 - 2012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F62663">
      <w:headerReference w:type="default" r:id="rId8"/>
      <w:footerReference w:type="default" r:id="rId9"/>
      <w:pgSz w:w="11906" w:h="16838"/>
      <w:pgMar w:top="3800" w:right="1800" w:bottom="1800" w:left="220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929A6" w14:textId="77777777" w:rsidR="00000000" w:rsidRDefault="00CA1A04">
      <w:r>
        <w:separator/>
      </w:r>
    </w:p>
  </w:endnote>
  <w:endnote w:type="continuationSeparator" w:id="0">
    <w:p w14:paraId="2A3686B6" w14:textId="77777777" w:rsidR="00000000" w:rsidRDefault="00C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venir Next">
    <w:altName w:val="Cambria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Baskerville">
    <w:panose1 w:val="00000000000000000000"/>
    <w:charset w:val="00"/>
    <w:family w:val="roman"/>
    <w:notTrueType/>
    <w:pitch w:val="default"/>
  </w:font>
  <w:font w:name="Avenir Next Dem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82208" w14:textId="77777777" w:rsidR="00F62663" w:rsidRDefault="00CA1A04">
    <w:pPr>
      <w:pStyle w:val="HeaderFooter"/>
      <w:tabs>
        <w:tab w:val="clear" w:pos="9020"/>
        <w:tab w:val="center" w:pos="3953"/>
        <w:tab w:val="right" w:pos="7906"/>
      </w:tabs>
    </w:pP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1A9C3" w14:textId="77777777" w:rsidR="00000000" w:rsidRDefault="00CA1A04">
      <w:r>
        <w:separator/>
      </w:r>
    </w:p>
  </w:footnote>
  <w:footnote w:type="continuationSeparator" w:id="0">
    <w:p w14:paraId="56E2199E" w14:textId="77777777" w:rsidR="00000000" w:rsidRDefault="00CA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B44FB" w14:textId="77777777" w:rsidR="00F62663" w:rsidRDefault="00F62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10F6D"/>
    <w:multiLevelType w:val="hybridMultilevel"/>
    <w:tmpl w:val="F21CC4EC"/>
    <w:styleLink w:val="Bullet"/>
    <w:lvl w:ilvl="0" w:tplc="37681CF6">
      <w:start w:val="1"/>
      <w:numFmt w:val="bullet"/>
      <w:lvlText w:val="•"/>
      <w:lvlJc w:val="left"/>
      <w:pPr>
        <w:tabs>
          <w:tab w:val="num" w:pos="220"/>
          <w:tab w:val="left" w:pos="720"/>
        </w:tabs>
        <w:ind w:left="94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ACCE3A">
      <w:start w:val="1"/>
      <w:numFmt w:val="bullet"/>
      <w:lvlText w:val="•"/>
      <w:lvlJc w:val="left"/>
      <w:pPr>
        <w:tabs>
          <w:tab w:val="left" w:pos="220"/>
          <w:tab w:val="num" w:pos="440"/>
          <w:tab w:val="left" w:pos="720"/>
        </w:tabs>
        <w:ind w:left="116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2C4BC4">
      <w:start w:val="1"/>
      <w:numFmt w:val="bullet"/>
      <w:lvlText w:val="•"/>
      <w:lvlJc w:val="left"/>
      <w:pPr>
        <w:tabs>
          <w:tab w:val="left" w:pos="220"/>
          <w:tab w:val="num" w:pos="660"/>
          <w:tab w:val="left" w:pos="720"/>
        </w:tabs>
        <w:ind w:left="138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9C1684">
      <w:start w:val="1"/>
      <w:numFmt w:val="bullet"/>
      <w:lvlText w:val="•"/>
      <w:lvlJc w:val="left"/>
      <w:pPr>
        <w:tabs>
          <w:tab w:val="left" w:pos="220"/>
          <w:tab w:val="left" w:pos="720"/>
          <w:tab w:val="num" w:pos="880"/>
        </w:tabs>
        <w:ind w:left="160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0EEB7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100"/>
        </w:tabs>
        <w:ind w:left="182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744DD4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320"/>
        </w:tabs>
        <w:ind w:left="204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30EBC4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540"/>
        </w:tabs>
        <w:ind w:left="226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CD7B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760"/>
        </w:tabs>
        <w:ind w:left="248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506A0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980"/>
        </w:tabs>
        <w:ind w:left="2700" w:hanging="9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EE5455"/>
    <w:multiLevelType w:val="hybridMultilevel"/>
    <w:tmpl w:val="F21CC4EC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63"/>
    <w:rsid w:val="00CA1A04"/>
    <w:rsid w:val="00F6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EDC7"/>
  <w15:docId w15:val="{F7FEFB76-B5D7-4C13-AFDD-D96A7CDA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Avenir Next" w:hAnsi="Avenir Next" w:cs="Arial Unicode MS"/>
      <w:color w:val="000000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</w:rPr>
  </w:style>
  <w:style w:type="paragraph" w:customStyle="1" w:styleId="FreeForm">
    <w:name w:val="Free Form"/>
    <w:pPr>
      <w:spacing w:after="200"/>
    </w:pPr>
    <w:rPr>
      <w:rFonts w:ascii="Avenir Next" w:eastAsia="Avenir Next" w:hAnsi="Avenir Next" w:cs="Avenir Next"/>
      <w:color w:val="000000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Bùi Thị Liên (VNCDLL-CTÐTKSAI)</cp:lastModifiedBy>
  <cp:revision>2</cp:revision>
  <cp:lastPrinted>2021-03-27T04:07:00Z</cp:lastPrinted>
  <dcterms:created xsi:type="dcterms:W3CDTF">2021-03-27T04:07:00Z</dcterms:created>
  <dcterms:modified xsi:type="dcterms:W3CDTF">2021-03-27T04:07:00Z</dcterms:modified>
</cp:coreProperties>
</file>