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Studies: Cost-Effective AI Model Selection</w:t>
      </w:r>
    </w:p>
    <w:p>
      <w:r>
        <w:t>This document presents two real-world inspired case studies—one based on City of Edmonton Garden Suite compliance, and another on AVEVA SCADA system pipeline security. Both demonstrate how selecting the most cost-effective AI model meets business needs while providing strong justification for future advertisement and promotion of the solution.</w:t>
      </w:r>
    </w:p>
    <w:p>
      <w:pPr>
        <w:pStyle w:val="Heading1"/>
      </w:pPr>
      <w:r>
        <w:t>Case 1: City of Edmonton – Garden Suite Compliance Chatbot</w:t>
      </w:r>
    </w:p>
    <w:p>
      <w:r>
        <w:t>Business Problem:</w:t>
      </w:r>
    </w:p>
    <w:p>
      <w:r>
        <w:t>Builders, homeowners, and architects in Edmonton need guidance on backyard housing (garden suites) regulations. The AI should answer queries such as 'What is the maximum allowed suite size in Zone RF3?' by referencing zoning bylaws, compliance PDFs, and city documentation.</w:t>
      </w:r>
    </w:p>
    <w:p>
      <w:r>
        <w:t>Requirements:</w:t>
      </w:r>
    </w:p>
    <w:p>
      <w:r>
        <w:t>- Provide accurate answers grounded in official PDFs &amp; municipal rules.</w:t>
        <w:br/>
        <w:t>- Reliability over creativity.</w:t>
        <w:br/>
        <w:t>- Cost must be controlled since many queries may be public-facing.</w:t>
      </w:r>
    </w:p>
    <w:p>
      <w:r>
        <w:t>Decision:</w:t>
      </w:r>
    </w:p>
    <w:p>
      <w:r>
        <w:t>The most cost-effective approach is to use a smaller LLM integrated with a Retrieval-Augmented Generation (RAG) pipeline tied to zoning PDFs. This avoids the expense of running a very large LLM while keeping answers reliable.</w:t>
      </w:r>
    </w:p>
    <w:p>
      <w:r>
        <w:t>Reason for Future Advertisement:</w:t>
      </w:r>
    </w:p>
    <w:p>
      <w:r>
        <w:t>This solution can be marketed to municipal governments and builders as a cost-efficient, transparent compliance assistant. Highlighting its ability to reduce citizen confusion and save staff time strengthens adoption potential.</w:t>
      </w:r>
    </w:p>
    <w:p>
      <w:pPr>
        <w:pStyle w:val="Heading1"/>
      </w:pPr>
      <w:r>
        <w:t>Case 2: AVEVA SCADA System – Oil Pipeline Security Assistant</w:t>
      </w:r>
    </w:p>
    <w:p>
      <w:r>
        <w:t>Business Problem:</w:t>
      </w:r>
    </w:p>
    <w:p>
      <w:r>
        <w:t>Pipeline engineers working with AVEVA SCADA systems require an internal AI tool to answer technical and security questions from SCADA manuals and cybersecurity PDFs. For example, 'How to configure alarm thresholds for pump failure?' or 'What are the cybersecurity best practices in SCADA networks?'</w:t>
      </w:r>
    </w:p>
    <w:p>
      <w:r>
        <w:t>Requirements:</w:t>
      </w:r>
    </w:p>
    <w:p>
      <w:r>
        <w:t>- Must operate securely inside the company network.</w:t>
        <w:br/>
        <w:t>- Accuracy must exceed 95% when citing safety and security documents.</w:t>
        <w:br/>
        <w:t>- Extremely sensitive data prohibits use of public APIs.</w:t>
      </w:r>
    </w:p>
    <w:p>
      <w:r>
        <w:t>Decision:</w:t>
      </w:r>
    </w:p>
    <w:p>
      <w:r>
        <w:t>The best choice is a cost-effective open-source model (e.g., Granite, Llama-3-8B, or Mixtral) deployed locally with RAG. This allows compliance with security requirements, reduces inference costs, and tailors outputs to internal documentation.</w:t>
      </w:r>
    </w:p>
    <w:p>
      <w:r>
        <w:t>Reason for Future Advertisement:</w:t>
      </w:r>
    </w:p>
    <w:p>
      <w:r>
        <w:t>This system can be advertised internally and externally as a secure AI solution for industrial environments. Emphasizing compliance with cybersecurity standards and cost savings compared to cloud-based solutions makes it attractive for large-scale adoption.</w:t>
      </w:r>
    </w:p>
    <w:p>
      <w:pPr>
        <w:pStyle w:val="Heading1"/>
      </w:pPr>
      <w:r>
        <w:t>LangChain Integration</w:t>
      </w:r>
    </w:p>
    <w:p>
      <w:r>
        <w:t>LangChain is an open-source framework for application development with LLMs. It provides structured components that make prompt engineering repeatable, testable, and production-ready. For both the Edmonton Garden Suite chatbot and the AVEVA SCADA assistant, LangChain simplifies integration by standardizing how prompts, outputs, and model calls are handled.</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Why It Matters for Prompts</w:t>
            </w:r>
          </w:p>
        </w:tc>
        <w:tc>
          <w:tcPr>
            <w:tcW w:type="dxa" w:w="2880"/>
          </w:tcPr>
          <w:p>
            <w:r>
              <w:t>Example Use</w:t>
            </w:r>
          </w:p>
        </w:tc>
      </w:tr>
      <w:tr>
        <w:tc>
          <w:tcPr>
            <w:tcW w:type="dxa" w:w="2880"/>
          </w:tcPr>
          <w:p>
            <w:r>
              <w:t>Language model</w:t>
            </w:r>
          </w:p>
        </w:tc>
        <w:tc>
          <w:tcPr>
            <w:tcW w:type="dxa" w:w="2880"/>
          </w:tcPr>
          <w:p>
            <w:r>
              <w:t>Plug in any LLM with the same interface.</w:t>
            </w:r>
          </w:p>
        </w:tc>
        <w:tc>
          <w:tcPr>
            <w:tcW w:type="dxa" w:w="2880"/>
          </w:tcPr>
          <w:p>
            <w:r>
              <w:t>Swap Llama-3 (cost) vs Granite (accuracy).</w:t>
            </w:r>
          </w:p>
        </w:tc>
      </w:tr>
      <w:tr>
        <w:tc>
          <w:tcPr>
            <w:tcW w:type="dxa" w:w="2880"/>
          </w:tcPr>
          <w:p>
            <w:r>
              <w:t>Chat model</w:t>
            </w:r>
          </w:p>
        </w:tc>
        <w:tc>
          <w:tcPr>
            <w:tcW w:type="dxa" w:w="2880"/>
          </w:tcPr>
          <w:p>
            <w:r>
              <w:t>Structured prompts with system, user, assistant roles.</w:t>
            </w:r>
          </w:p>
        </w:tc>
        <w:tc>
          <w:tcPr>
            <w:tcW w:type="dxa" w:w="2880"/>
          </w:tcPr>
          <w:p>
            <w:r>
              <w:t>System = compliance assistant, User = builder question.</w:t>
            </w:r>
          </w:p>
        </w:tc>
      </w:tr>
      <w:tr>
        <w:tc>
          <w:tcPr>
            <w:tcW w:type="dxa" w:w="2880"/>
          </w:tcPr>
          <w:p>
            <w:r>
              <w:t>Chat messages</w:t>
            </w:r>
          </w:p>
        </w:tc>
        <w:tc>
          <w:tcPr>
            <w:tcW w:type="dxa" w:w="2880"/>
          </w:tcPr>
          <w:p>
            <w:r>
              <w:t>Store multi-turn history for context.</w:t>
            </w:r>
          </w:p>
        </w:tc>
        <w:tc>
          <w:tcPr>
            <w:tcW w:type="dxa" w:w="2880"/>
          </w:tcPr>
          <w:p>
            <w:r>
              <w:t>Follow-up: 'What about RF2 zone?'</w:t>
            </w:r>
          </w:p>
        </w:tc>
      </w:tr>
      <w:tr>
        <w:tc>
          <w:tcPr>
            <w:tcW w:type="dxa" w:w="2880"/>
          </w:tcPr>
          <w:p>
            <w:r>
              <w:t>Prompt templates</w:t>
            </w:r>
          </w:p>
        </w:tc>
        <w:tc>
          <w:tcPr>
            <w:tcW w:type="dxa" w:w="2880"/>
          </w:tcPr>
          <w:p>
            <w:r>
              <w:t>Standardize and reuse prompts (few-shot, CoT, etc.).</w:t>
            </w:r>
          </w:p>
        </w:tc>
        <w:tc>
          <w:tcPr>
            <w:tcW w:type="dxa" w:w="2880"/>
          </w:tcPr>
          <w:p>
            <w:r>
              <w:t>Compliance Q&amp;A or SCADA troubleshooting templates.</w:t>
            </w:r>
          </w:p>
        </w:tc>
      </w:tr>
      <w:tr>
        <w:tc>
          <w:tcPr>
            <w:tcW w:type="dxa" w:w="2880"/>
          </w:tcPr>
          <w:p>
            <w:r>
              <w:t>Output parsers</w:t>
            </w:r>
          </w:p>
        </w:tc>
        <w:tc>
          <w:tcPr>
            <w:tcW w:type="dxa" w:w="2880"/>
          </w:tcPr>
          <w:p>
            <w:r>
              <w:t>Ensure strict schema (JSON, lists).</w:t>
            </w:r>
          </w:p>
        </w:tc>
        <w:tc>
          <w:tcPr>
            <w:tcW w:type="dxa" w:w="2880"/>
          </w:tcPr>
          <w:p>
            <w:r>
              <w:t>SCADA → { step: '...', safety: true }</w:t>
            </w:r>
          </w:p>
        </w:tc>
      </w:tr>
    </w:tbl>
    <w:p>
      <w:pPr>
        <w:pStyle w:val="Heading1"/>
      </w:pPr>
      <w:r>
        <w:t>Prompt Engineering Methods</w:t>
      </w:r>
    </w:p>
    <w:p>
      <w:r>
        <w:t>Different prompt engineering methods are suited for different problem domains. For the Edmonton Garden Suite chatbot and the AVEVA SCADA assistant, specific strategies help balance cost, accuracy, and reliability.</w:t>
      </w:r>
    </w:p>
    <w:tbl>
      <w:tblPr>
        <w:tblW w:type="auto" w:w="0"/>
        <w:tblLook w:firstColumn="1" w:firstRow="1" w:lastColumn="0" w:lastRow="0" w:noHBand="0" w:noVBand="1" w:val="04A0"/>
      </w:tblPr>
      <w:tblGrid>
        <w:gridCol w:w="2160"/>
        <w:gridCol w:w="2160"/>
        <w:gridCol w:w="2160"/>
        <w:gridCol w:w="2160"/>
      </w:tblGrid>
      <w:tr>
        <w:tc>
          <w:tcPr>
            <w:tcW w:type="dxa" w:w="2160"/>
          </w:tcPr>
          <w:p>
            <w:r>
              <w:t>Case</w:t>
            </w:r>
          </w:p>
        </w:tc>
        <w:tc>
          <w:tcPr>
            <w:tcW w:type="dxa" w:w="2160"/>
          </w:tcPr>
          <w:p>
            <w:r>
              <w:t>Recommended Method</w:t>
            </w:r>
          </w:p>
        </w:tc>
        <w:tc>
          <w:tcPr>
            <w:tcW w:type="dxa" w:w="2160"/>
          </w:tcPr>
          <w:p>
            <w:r>
              <w:t>Why</w:t>
            </w:r>
          </w:p>
        </w:tc>
        <w:tc>
          <w:tcPr>
            <w:tcW w:type="dxa" w:w="2160"/>
          </w:tcPr>
          <w:p>
            <w:r>
              <w:t>Example</w:t>
            </w:r>
          </w:p>
        </w:tc>
      </w:tr>
      <w:tr>
        <w:tc>
          <w:tcPr>
            <w:tcW w:type="dxa" w:w="2160"/>
          </w:tcPr>
          <w:p>
            <w:r>
              <w:t>City of Edmonton – Garden Suite Chatbot</w:t>
            </w:r>
          </w:p>
        </w:tc>
        <w:tc>
          <w:tcPr>
            <w:tcW w:type="dxa" w:w="2160"/>
          </w:tcPr>
          <w:p>
            <w:r>
              <w:t>Few-shot Prompt</w:t>
            </w:r>
          </w:p>
        </w:tc>
        <w:tc>
          <w:tcPr>
            <w:tcW w:type="dxa" w:w="2160"/>
          </w:tcPr>
          <w:p>
            <w:r>
              <w:t>Helps enforce legal language, improves consistency, reduces hallucinations.</w:t>
            </w:r>
          </w:p>
        </w:tc>
        <w:tc>
          <w:tcPr>
            <w:tcW w:type="dxa" w:w="2160"/>
          </w:tcPr>
          <w:p>
            <w:r>
              <w:t>Q: 'What is max suite height in RF3?' → A: '8.9m (Bylaw Section X.Y)'</w:t>
            </w:r>
          </w:p>
        </w:tc>
      </w:tr>
      <w:tr>
        <w:tc>
          <w:tcPr>
            <w:tcW w:type="dxa" w:w="2160"/>
          </w:tcPr>
          <w:p>
            <w:r>
              <w:t>AVEVA SCADA System – Oil Pipeline Security Assistant</w:t>
            </w:r>
          </w:p>
        </w:tc>
        <w:tc>
          <w:tcPr>
            <w:tcW w:type="dxa" w:w="2160"/>
          </w:tcPr>
          <w:p>
            <w:r>
              <w:t>Chain-of-Thought + Self-consistency</w:t>
            </w:r>
          </w:p>
        </w:tc>
        <w:tc>
          <w:tcPr>
            <w:tcW w:type="dxa" w:w="2160"/>
          </w:tcPr>
          <w:p>
            <w:r>
              <w:t>Ensures reasoning across multiple steps and consistent, reliable safety answers.</w:t>
            </w:r>
          </w:p>
        </w:tc>
        <w:tc>
          <w:tcPr>
            <w:tcW w:type="dxa" w:w="2160"/>
          </w:tcPr>
          <w:p>
            <w:r>
              <w:t>Prompt: 'Step-by-step, configure alarm thresholds for pump failures citing internal docs.'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