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67029">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eastAsia="宋体"/>
          <w:b/>
          <w:bCs/>
          <w:sz w:val="28"/>
          <w:szCs w:val="28"/>
        </w:rPr>
      </w:pPr>
      <w:r>
        <w:rPr>
          <w:rFonts w:ascii="Times New Roman" w:hAnsi="Times New Roman" w:eastAsia="宋体"/>
          <w:b/>
          <w:bCs/>
          <w:sz w:val="28"/>
          <w:szCs w:val="28"/>
        </w:rPr>
        <w:t>赏金布（Campus Quest）校园猎人公会任务悬赏平台组内</w:t>
      </w:r>
    </w:p>
    <w:p w14:paraId="35622E40">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eastAsia="宋体"/>
          <w:b/>
          <w:bCs/>
          <w:sz w:val="28"/>
          <w:szCs w:val="28"/>
        </w:rPr>
      </w:pPr>
      <w:r>
        <w:rPr>
          <w:rFonts w:ascii="Times New Roman" w:hAnsi="Times New Roman" w:eastAsia="宋体"/>
          <w:b/>
          <w:bCs/>
          <w:sz w:val="28"/>
          <w:szCs w:val="28"/>
        </w:rPr>
        <w:t>会议记录报告</w:t>
      </w:r>
    </w:p>
    <w:p w14:paraId="12953062">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一、会议基本情况</w:t>
      </w:r>
    </w:p>
    <w:p w14:paraId="68D7D700">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r>
        <w:rPr>
          <w:rFonts w:ascii="Times New Roman" w:hAnsi="Times New Roman" w:eastAsia="宋体"/>
          <w:b/>
          <w:bCs/>
          <w:sz w:val="24"/>
          <w:szCs w:val="24"/>
        </w:rPr>
        <w:t>会议主题：</w:t>
      </w:r>
      <w:r>
        <w:rPr>
          <w:rFonts w:ascii="Times New Roman" w:hAnsi="Times New Roman" w:eastAsia="宋体"/>
          <w:sz w:val="24"/>
          <w:szCs w:val="24"/>
        </w:rPr>
        <w:t xml:space="preserve"> 设计材料落地、详细设计与数据库设计初版整理、接口联调准备</w:t>
      </w:r>
    </w:p>
    <w:p w14:paraId="47C61234">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r>
        <w:rPr>
          <w:rFonts w:ascii="Times New Roman" w:hAnsi="Times New Roman" w:eastAsia="宋体"/>
          <w:b/>
          <w:bCs/>
          <w:sz w:val="24"/>
          <w:szCs w:val="24"/>
        </w:rPr>
        <w:t>会议形式：</w:t>
      </w:r>
      <w:r>
        <w:rPr>
          <w:rFonts w:ascii="Times New Roman" w:hAnsi="Times New Roman" w:eastAsia="宋体"/>
          <w:sz w:val="24"/>
          <w:szCs w:val="24"/>
        </w:rPr>
        <w:t xml:space="preserve"> 小组内部讨论 / 文档共创 / 线上沟通</w:t>
      </w:r>
    </w:p>
    <w:p w14:paraId="0F9362D6">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r>
        <w:rPr>
          <w:rFonts w:ascii="Times New Roman" w:hAnsi="Times New Roman" w:eastAsia="宋体"/>
          <w:b/>
          <w:bCs/>
          <w:sz w:val="24"/>
          <w:szCs w:val="24"/>
        </w:rPr>
        <w:t>会议时间：</w:t>
      </w:r>
      <w:r>
        <w:rPr>
          <w:rFonts w:ascii="Times New Roman" w:hAnsi="Times New Roman" w:eastAsia="宋体"/>
          <w:sz w:val="24"/>
          <w:szCs w:val="24"/>
        </w:rPr>
        <w:t xml:space="preserve"> 2026 年 </w:t>
      </w:r>
      <w:r>
        <w:rPr>
          <w:rFonts w:hint="eastAsia" w:ascii="Times New Roman" w:hAnsi="Times New Roman" w:eastAsia="宋体"/>
          <w:sz w:val="24"/>
          <w:szCs w:val="24"/>
          <w:lang w:val="en-US" w:eastAsia="zh-CN"/>
        </w:rPr>
        <w:t>7</w:t>
      </w:r>
      <w:r>
        <w:rPr>
          <w:rFonts w:ascii="Times New Roman" w:hAnsi="Times New Roman" w:eastAsia="宋体"/>
          <w:sz w:val="24"/>
          <w:szCs w:val="24"/>
        </w:rPr>
        <w:t xml:space="preserve"> 月 </w:t>
      </w:r>
      <w:r>
        <w:rPr>
          <w:rFonts w:hint="eastAsia" w:ascii="Times New Roman" w:hAnsi="Times New Roman" w:eastAsia="宋体"/>
          <w:sz w:val="24"/>
          <w:szCs w:val="24"/>
          <w:lang w:val="en-US" w:eastAsia="zh-CN"/>
        </w:rPr>
        <w:t>1</w:t>
      </w:r>
      <w:r>
        <w:rPr>
          <w:rFonts w:ascii="Times New Roman" w:hAnsi="Times New Roman" w:eastAsia="宋体"/>
          <w:sz w:val="24"/>
          <w:szCs w:val="24"/>
        </w:rPr>
        <w:t xml:space="preserve"> 日</w:t>
      </w:r>
    </w:p>
    <w:p w14:paraId="712C8982">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r>
        <w:rPr>
          <w:rFonts w:ascii="Times New Roman" w:hAnsi="Times New Roman" w:eastAsia="宋体"/>
          <w:b/>
          <w:bCs/>
          <w:sz w:val="24"/>
          <w:szCs w:val="24"/>
        </w:rPr>
        <w:t>会议地点：</w:t>
      </w:r>
      <w:r>
        <w:rPr>
          <w:rFonts w:ascii="Times New Roman" w:hAnsi="Times New Roman" w:eastAsia="宋体"/>
          <w:sz w:val="24"/>
          <w:szCs w:val="24"/>
        </w:rPr>
        <w:t xml:space="preserve"> 线上讨论 / 组内协作文档</w:t>
      </w:r>
    </w:p>
    <w:p w14:paraId="49ABFF42">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sz w:val="24"/>
          <w:szCs w:val="24"/>
        </w:rPr>
      </w:pPr>
      <w:r>
        <w:rPr>
          <w:rFonts w:ascii="Times New Roman" w:hAnsi="Times New Roman" w:eastAsia="宋体"/>
          <w:b/>
          <w:bCs/>
          <w:sz w:val="24"/>
          <w:szCs w:val="24"/>
        </w:rPr>
        <w:t>参会人员：</w:t>
      </w:r>
      <w:r>
        <w:rPr>
          <w:rFonts w:ascii="Times New Roman" w:hAnsi="Times New Roman" w:eastAsia="宋体"/>
          <w:sz w:val="24"/>
          <w:szCs w:val="24"/>
        </w:rPr>
        <w:t xml:space="preserve"> </w:t>
      </w:r>
      <w:r>
        <w:rPr>
          <w:rFonts w:hint="eastAsia" w:ascii="Times New Roman" w:hAnsi="Times New Roman" w:eastAsia="宋体"/>
          <w:sz w:val="24"/>
          <w:szCs w:val="24"/>
        </w:rPr>
        <w:t>唐浩文、彭博、陈楚月</w:t>
      </w:r>
    </w:p>
    <w:p w14:paraId="68C27784">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r>
        <w:rPr>
          <w:rFonts w:ascii="Times New Roman" w:hAnsi="Times New Roman" w:eastAsia="宋体"/>
          <w:b/>
          <w:bCs/>
          <w:sz w:val="24"/>
          <w:szCs w:val="24"/>
        </w:rPr>
        <w:t>会议目的：</w:t>
      </w:r>
    </w:p>
    <w:p w14:paraId="521AD1E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本次会议是在 2026 年 6 月 30 日组内架构设计讨论的基础上继续推进。上一轮会议已经明确了赏金布项目的产品定位、业务主链路、轻量微服务架构、AI 书记官定位、服务边界、数据归属和后续开发优先级。今天会议不再重复讨论“项目到底做什么”，而是重点解决“前一天形成的结论如何进入正式设计材料、接口契约、数据库设计和联调验收安排”。</w:t>
      </w:r>
    </w:p>
    <w:p w14:paraId="3F4F68F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根据《想不出来组day01</w:t>
      </w:r>
      <w:r>
        <w:rPr>
          <w:rFonts w:ascii="Times New Roman" w:hAnsi="Times New Roman" w:eastAsia="宋体"/>
          <w:sz w:val="24"/>
          <w:szCs w:val="24"/>
        </w:rPr>
        <w:t>项目进度计划初稿.xls》和 会议记录/7.1.md</w:t>
      </w:r>
      <w:r>
        <w:rPr>
          <w:rFonts w:ascii="Times New Roman" w:hAnsi="Times New Roman" w:eastAsia="宋体"/>
          <w:sz w:val="24"/>
          <w:szCs w:val="24"/>
        </w:rPr>
        <w:t xml:space="preserve"> 中列出的今日计划，2026 年 7 月 1 日处在项目由“需求与概要设计”转向“详细设计、数据库设计、接口联调准备”的过渡节点。会议围绕继续完善 4A 架构图、继续完善概要设计说明书、形成详细设计说明书初版、形成数据库设计说明书初版、更新项目进度计划表以及梳理接口与验收材料展开。</w:t>
      </w:r>
    </w:p>
    <w:p w14:paraId="5B0FD66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本次会议的核心目标是保证需求说明、架构图、概要设计、详细设计、数据库设计、API 对接、前端验收和联调清单之间口径一致，避免后续出现“文档里是任务悬赏系统，接口里还是二手商城语义”“架构图里有 AI 服务，但业务服务直接调用模型”“前端页面已完成，后端接口字段对不上”等问题。</w:t>
      </w:r>
    </w:p>
    <w:p w14:paraId="1B1BD6BC">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二、会议参考材料</w:t>
      </w:r>
    </w:p>
    <w:p w14:paraId="1609ADD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本次讨论主要参考了以下材料：</w:t>
      </w:r>
    </w:p>
    <w:p w14:paraId="5F436387">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调研报告初稿</w:t>
      </w:r>
    </w:p>
    <w:p w14:paraId="0C5F1AD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项目的产品定位、用户痛点、应用场景、市场分析、风险分析和可行性结论。调研报告中已经明确，赏金布是面向高校学生日常学习、生活和轻技能协作场景的校园任务悬赏与信用治理平台，核心主线是“任务发布—申请接单—履约举证—确认评价—信用成长—纠纷仲裁”。</w:t>
      </w:r>
    </w:p>
    <w:p w14:paraId="340830CF">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软件需求说明书初稿</w:t>
      </w:r>
    </w:p>
    <w:p w14:paraId="379654E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主要用于确认系统有哪些角色、有哪些功能模块、哪些功能必须做、哪些场景不适用。需求说明书中已经列出了用户身份、任务悬赏、任务大厅、履约交易、评价、信用成长、小法庭、AI 书记官、消息通知、后台治理、数据统计、文件管理等模块。</w:t>
      </w:r>
    </w:p>
    <w:p w14:paraId="0B44641B">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初步改造方案</w:t>
      </w:r>
    </w:p>
    <w:p w14:paraId="1D4333F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主要用于确认项目的特色设定和整体方向。方案里提出了“Campus Quest：校园猎人公会任务悬赏平台”的设定，并强调底层应该是严肃的任务悬赏系统，上层用猎人公会、小法庭、等级、徽章、AI 书记官等元素增强记忆点。</w:t>
      </w:r>
    </w:p>
    <w:p w14:paraId="6E847907">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概要设计说明书初稿</w:t>
      </w:r>
    </w:p>
    <w:p w14:paraId="362D3C0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主要用于确认系统架构、功能架构、服务拆分、部署设计、数据库设计和安全体系。概要设计说明书中已经初步提出系统采用“前后端分离 + 轻量微服务 + 统一网关 + 独立 AI 服务 + 集中数据存储”的总体架构。</w:t>
      </w:r>
    </w:p>
    <w:p w14:paraId="7DBDC7DD">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小组项目启动会问题清单</w:t>
      </w:r>
    </w:p>
    <w:p w14:paraId="73A4A8F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主要用于检查项目方向是否清楚、功能范围是否合理、服务边界是否明确、AI 是否解耦、接口和数据边界是否清楚，以及后续开发如何分工和控制风险。</w:t>
      </w:r>
    </w:p>
    <w:p w14:paraId="5238A723">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6.30会议记录.md</w:t>
      </w:r>
    </w:p>
    <w:p w14:paraId="4951C93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主要用于承接上一轮会议结论。6 月 30 日会议已经确认赏金布不是普通跑腿平台，而是面向高校学生的校园任务悬赏与信用治理平台；系统优先打通普通任务主链路，再逐步实现小法庭、信用成长、AI 书记官、后台治理等特色能力。</w:t>
      </w:r>
    </w:p>
    <w:p w14:paraId="0F991EF8">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赏金布_改造过渡总览.md</w:t>
      </w:r>
    </w:p>
    <w:p w14:paraId="369D27D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主要用于确认项目从原“校园二手商城”向“赏金布校园任务悬赏平台”过渡时的整体思路，包括旧商城概念到新业务概念的映射、阶段性改造路线、A/B/C 档功能优先级和前后端协作原则。</w:t>
      </w:r>
    </w:p>
    <w:p w14:paraId="48B6F277">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赏金布_服务与数据模型改造说明.md</w:t>
      </w:r>
    </w:p>
    <w:p w14:paraId="4D1A065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主要用于确认后端服务职责和数据库模型演进方向。该文档明确了 cm-auth</w:t>
      </w:r>
      <w:r>
        <w:rPr>
          <w:rFonts w:ascii="Times New Roman" w:hAnsi="Times New Roman" w:eastAsia="宋体"/>
          <w:sz w:val="24"/>
          <w:szCs w:val="24"/>
        </w:rPr>
        <w:t>、cm-product</w:t>
      </w:r>
      <w:r>
        <w:rPr>
          <w:rFonts w:ascii="Times New Roman" w:hAnsi="Times New Roman" w:eastAsia="宋体"/>
          <w:sz w:val="24"/>
          <w:szCs w:val="24"/>
        </w:rPr>
        <w:t>、cm-trade</w:t>
      </w:r>
      <w:r>
        <w:rPr>
          <w:rFonts w:ascii="Times New Roman" w:hAnsi="Times New Roman" w:eastAsia="宋体"/>
          <w:sz w:val="24"/>
          <w:szCs w:val="24"/>
        </w:rPr>
        <w:t>、cm-notify</w:t>
      </w:r>
      <w:r>
        <w:rPr>
          <w:rFonts w:ascii="Times New Roman" w:hAnsi="Times New Roman" w:eastAsia="宋体"/>
          <w:sz w:val="24"/>
          <w:szCs w:val="24"/>
        </w:rPr>
        <w:t xml:space="preserve"> 等现有服务在赏金布过渡期的职责变化，以及任务、申请、契约、履约证据、评价、小法庭、投票、裁决、判例、AI 输出日志和信誉日志等数据对象。</w:t>
      </w:r>
    </w:p>
    <w:p w14:paraId="680AAAF2">
      <w:pPr>
        <w:pStyle w:val="34"/>
        <w:keepNext w:val="0"/>
        <w:keepLines w:val="0"/>
        <w:pageBreakBefore w:val="0"/>
        <w:widowControl w:val="0"/>
        <w:numPr>
          <w:ilvl w:val="0"/>
          <w:numId w:val="1"/>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详细设计说明书模板.md</w:t>
      </w:r>
    </w:p>
    <w:p w14:paraId="5ED7944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主要用于约束详细设计说明书初版结构。会议决定详细设计初版不急于写所有代码级细节，但必须按照模块、流程、用户权限、接口、数据存储、限制条件和测试计划逐步展开。</w:t>
      </w:r>
    </w:p>
    <w:p w14:paraId="1B0E701C">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ascii="Times New Roman" w:hAnsi="Times New Roman" w:eastAsia="宋体"/>
          <w:sz w:val="24"/>
          <w:szCs w:val="24"/>
        </w:rPr>
      </w:pPr>
    </w:p>
    <w:p w14:paraId="1FB2C4C2">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textAlignment w:val="auto"/>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前次会议结论回顾与今日衔接</w:t>
      </w:r>
    </w:p>
    <w:p w14:paraId="60BA84F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会议开始时，小组先对 6 月 30 日会议结论进行了复盘，以保证今天的讨论不偏离既定方向。</w:t>
      </w:r>
    </w:p>
    <w:p w14:paraId="3140444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第一，项目定位已经确定为 校园任务悬赏与信用治理平台</w:t>
      </w:r>
      <w:r>
        <w:rPr>
          <w:rFonts w:ascii="Times New Roman" w:hAnsi="Times New Roman" w:eastAsia="宋体"/>
          <w:sz w:val="24"/>
          <w:szCs w:val="24"/>
        </w:rPr>
        <w:t>。项目不能简单写成校园跑腿，也不能写成普通信息发布系统。赏金布需要围绕“任务发布、申请接单、履约举证、确认评价、信用成长、纠纷仲裁”形成完整闭环。</w:t>
      </w:r>
    </w:p>
    <w:p w14:paraId="716A8A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第二，普通任务主链路仍是第一优先级。系统必须优先完成注册登录、校园认证、发布任务、任务大厅、申请接单、选择猎人、生成契约、履约举证、确认完成、双方评价和信用更新。</w:t>
      </w:r>
    </w:p>
    <w:p w14:paraId="5490365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第三，小法庭是项目的重要特色，但首期只实现最小可运行闭环，包括发起纠纷、提交陈述、上传证据、陪审团投票、管理员裁决和判例归档。复杂投票反作弊、高级判例检索和多风格 AI 点评可以后置。</w:t>
      </w:r>
    </w:p>
    <w:p w14:paraId="072AA79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第四，AI 书记官是辅助能力，不是最终裁决者。AI 可以辅助任务拆解、赏金建议、风险提示、案件摘要、证据分析和幽默点评，但不能自动发布任务、不能自动选择猎人、不能自动裁决案件、不能直接扣除信誉分。</w:t>
      </w:r>
    </w:p>
    <w:p w14:paraId="08D5CC6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rPr>
      </w:pPr>
      <w:r>
        <w:rPr>
          <w:rFonts w:ascii="Times New Roman" w:hAnsi="Times New Roman" w:eastAsia="宋体"/>
          <w:sz w:val="24"/>
          <w:szCs w:val="24"/>
        </w:rPr>
        <w:t>第五，系统继续采用“前后端分离 + 轻量微服务 + 统一网关 + 独立 AI 能力 + MySQL + Redis + 文件存储 + 日志审计”的总体思路。实现阶段可以适当复用和合并现有服务，但设计材料中必须把能力边界写清楚。</w:t>
      </w:r>
    </w:p>
    <w:p w14:paraId="5522D1B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default" w:ascii="Times New Roman" w:hAnsi="Times New Roman" w:eastAsia="宋体"/>
          <w:b/>
          <w:bCs/>
          <w:sz w:val="24"/>
          <w:szCs w:val="24"/>
          <w:lang w:val="en-US" w:eastAsia="zh-CN"/>
        </w:rPr>
      </w:pPr>
      <w:r>
        <w:rPr>
          <w:rFonts w:ascii="Times New Roman" w:hAnsi="Times New Roman" w:eastAsia="宋体"/>
          <w:sz w:val="24"/>
          <w:szCs w:val="24"/>
        </w:rPr>
        <w:t>基于以上结论，今天会议的重点从“统一方向和架构”转向“让设计材料、接口契约、数据库模型、页面路由和验收清单形成一套能落地的工程说明”。</w:t>
      </w:r>
    </w:p>
    <w:p w14:paraId="2AB107FC">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ind w:left="0" w:leftChars="0" w:firstLine="0" w:firstLineChars="0"/>
        <w:textAlignment w:val="auto"/>
        <w:rPr>
          <w:rFonts w:ascii="Times New Roman" w:hAnsi="Times New Roman" w:eastAsia="宋体"/>
          <w:b/>
          <w:bCs/>
          <w:sz w:val="24"/>
          <w:szCs w:val="24"/>
        </w:rPr>
      </w:pPr>
      <w:r>
        <w:rPr>
          <w:rFonts w:hint="eastAsia" w:ascii="Times New Roman" w:hAnsi="Times New Roman" w:eastAsia="宋体"/>
          <w:b/>
          <w:bCs/>
          <w:sz w:val="24"/>
          <w:szCs w:val="24"/>
          <w:lang w:val="en-US" w:eastAsia="zh-CN"/>
        </w:rPr>
        <w:t>今日计划衔接说明</w:t>
      </w:r>
    </w:p>
    <w:p w14:paraId="7313F31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根据项目进度计划和 7.1.md 中的今日安排，小组将当天任务拆解如下：</w:t>
      </w:r>
    </w:p>
    <w:p w14:paraId="185CBCC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p>
    <w:tbl>
      <w:tblPr>
        <w:tblStyle w:val="45"/>
        <w:tblW w:w="0" w:type="pct"/>
        <w:jc w:val="center"/>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82"/>
        <w:gridCol w:w="3900"/>
        <w:gridCol w:w="2440"/>
      </w:tblGrid>
      <w:tr w14:paraId="2C59A68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Borders>
              <w:bottom w:val="single" w:color="auto" w:sz="4" w:space="0"/>
            </w:tcBorders>
            <w:vAlign w:val="bottom"/>
          </w:tcPr>
          <w:p w14:paraId="237E1F6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今日计划任务</w:t>
            </w:r>
          </w:p>
        </w:tc>
        <w:tc>
          <w:tcPr>
            <w:tcBorders>
              <w:bottom w:val="single" w:color="auto" w:sz="4" w:space="0"/>
            </w:tcBorders>
            <w:vAlign w:val="bottom"/>
          </w:tcPr>
          <w:p w14:paraId="4FD2318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会议中的落实方式</w:t>
            </w:r>
          </w:p>
        </w:tc>
        <w:tc>
          <w:tcPr>
            <w:tcBorders>
              <w:bottom w:val="single" w:color="auto" w:sz="4" w:space="0"/>
            </w:tcBorders>
            <w:vAlign w:val="bottom"/>
          </w:tcPr>
          <w:p w14:paraId="2E47384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对应输出材料</w:t>
            </w:r>
          </w:p>
        </w:tc>
      </w:tr>
      <w:tr w14:paraId="39B79C7B">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Borders>
              <w:top w:val="single" w:color="auto" w:sz="4" w:space="0"/>
            </w:tcBorders>
          </w:tcPr>
          <w:p w14:paraId="7DD0F3E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主业务流程与功能优先级梳理收尾</w:t>
            </w:r>
          </w:p>
        </w:tc>
        <w:tc>
          <w:tcPr>
            <w:tcBorders>
              <w:top w:val="single" w:color="auto" w:sz="4" w:space="0"/>
            </w:tcBorders>
          </w:tcPr>
          <w:p w14:paraId="5D1497E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再次确认普通任务主链路、小法庭纠纷链路、AI 辅助链路的优先级</w:t>
            </w:r>
          </w:p>
        </w:tc>
        <w:tc>
          <w:tcPr>
            <w:tcBorders>
              <w:top w:val="single" w:color="auto" w:sz="4" w:space="0"/>
            </w:tcBorders>
          </w:tcPr>
          <w:p w14:paraId="5EC847B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会议记录、概要设计、详细设计</w:t>
            </w:r>
          </w:p>
        </w:tc>
      </w:tr>
      <w:tr w14:paraId="03A3AD7E">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204C87F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页面清单、前端路由与交互流程设计启动</w:t>
            </w:r>
          </w:p>
        </w:tc>
        <w:tc>
          <w:p w14:paraId="18E1039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结合前端验收报告和设计规范，梳理任务大厅、发布任务、我的任务、小法庭、后台等页面</w:t>
            </w:r>
          </w:p>
        </w:tc>
        <w:tc>
          <w:p w14:paraId="1DC9B68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应用架构图、详细设计说明书</w:t>
            </w:r>
          </w:p>
        </w:tc>
      </w:tr>
      <w:tr w14:paraId="0350E5C3">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77E95FD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数据库表结构、实体关系与状态字段设计启动</w:t>
            </w:r>
          </w:p>
        </w:tc>
        <w:tc>
          <w:p w14:paraId="024B4CE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梳理任务、申请、契约、证据、评价、案件、投票、裁决、通知、AI 日志等核心表</w:t>
            </w:r>
          </w:p>
        </w:tc>
        <w:tc>
          <w:p w14:paraId="5A52AE8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数据架构图、数据库设计说明书</w:t>
            </w:r>
          </w:p>
        </w:tc>
      </w:tr>
      <w:tr w14:paraId="315EFC3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125914F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4A 架构图继续完善</w:t>
            </w:r>
          </w:p>
        </w:tc>
        <w:tc>
          <w:p w14:paraId="0817165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检查业务架构、应用架构、数据架构、技术架构是否覆盖主链路和服务边界</w:t>
            </w:r>
          </w:p>
        </w:tc>
        <w:tc>
          <w:p w14:paraId="4F39046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业务架构图、应用架构图、数据架构图、技术架构图</w:t>
            </w:r>
          </w:p>
        </w:tc>
      </w:tr>
      <w:tr w14:paraId="017FFA5D">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427BA47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概要设计说明书继续完善</w:t>
            </w:r>
          </w:p>
        </w:tc>
        <w:tc>
          <w:p w14:paraId="4FB224A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补充项目范围、状态机、服务边界、接口分类、数据归属、AI 降级和安全设计</w:t>
            </w:r>
          </w:p>
        </w:tc>
        <w:tc>
          <w:p w14:paraId="1B7B410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概要设计说明书</w:t>
            </w:r>
          </w:p>
        </w:tc>
      </w:tr>
      <w:tr w14:paraId="3195C38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2CD8D65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详细设计说明书初版</w:t>
            </w:r>
          </w:p>
        </w:tc>
        <w:tc>
          <w:p w14:paraId="540AA7B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按模板形成模块级设计骨架，说明流程、权限、接口、异常和测试要点</w:t>
            </w:r>
          </w:p>
        </w:tc>
        <w:tc>
          <w:p w14:paraId="0722A77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详细设计说明书初版</w:t>
            </w:r>
          </w:p>
        </w:tc>
      </w:tr>
      <w:tr w14:paraId="318F476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6B9E02C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数据库设计说明书初版</w:t>
            </w:r>
          </w:p>
        </w:tc>
        <w:tc>
          <w:p w14:paraId="6DD1051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形成核心表清单、字段方向、状态枚举、数据归属和关联关系</w:t>
            </w:r>
          </w:p>
        </w:tc>
        <w:tc>
          <w:p w14:paraId="3B532C9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数据库设计说明书初版</w:t>
            </w:r>
          </w:p>
        </w:tc>
      </w:tr>
      <w:tr w14:paraId="7100AB8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p w14:paraId="4AC6B97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项目进度计划表更新</w:t>
            </w:r>
          </w:p>
        </w:tc>
        <w:tc>
          <w:p w14:paraId="3AABACE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将设计文档、接口清单、联调准备和测试验收节点补入计划</w:t>
            </w:r>
          </w:p>
        </w:tc>
        <w:tc>
          <w:p w14:paraId="06849AB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cstheme="minorBidi"/>
                <w:kern w:val="2"/>
                <w:sz w:val="21"/>
                <w:szCs w:val="21"/>
                <w:lang w:val="en-US" w:eastAsia="zh-CN" w:bidi="ar-SA"/>
                <w14:ligatures w14:val="standardContextual"/>
              </w:rPr>
            </w:pPr>
            <w:r>
              <w:rPr>
                <w:rFonts w:ascii="Times New Roman" w:hAnsi="Times New Roman" w:eastAsia="宋体" w:cstheme="minorBidi"/>
                <w:kern w:val="2"/>
                <w:sz w:val="21"/>
                <w:szCs w:val="21"/>
                <w:lang w:val="en-US" w:eastAsia="zh-CN" w:bidi="ar-SA"/>
                <w14:ligatures w14:val="standardContextual"/>
              </w:rPr>
              <w:t>项目进度计划表</w:t>
            </w:r>
          </w:p>
        </w:tc>
      </w:tr>
    </w:tbl>
    <w:p w14:paraId="2F4D8F8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会议认为，7 月 1 日的工作不是孤立地“多写几份文档”，而是把前一天形成的架构共识继续推进为可提交、可编码、可联调、可验收的工程材料。</w:t>
      </w:r>
    </w:p>
    <w:p w14:paraId="4A605901">
      <w:pPr>
        <w:keepNext w:val="0"/>
        <w:keepLines w:val="0"/>
        <w:pageBreakBefore w:val="0"/>
        <w:widowControl w:val="0"/>
        <w:numPr>
          <w:numId w:val="0"/>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p>
    <w:p w14:paraId="45C9AF62">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ind w:left="0" w:leftChars="0" w:firstLine="0" w:firstLineChars="0"/>
        <w:textAlignment w:val="auto"/>
        <w:rPr>
          <w:rFonts w:ascii="Times New Roman" w:hAnsi="Times New Roman" w:eastAsia="宋体"/>
          <w:b/>
          <w:bCs/>
          <w:sz w:val="24"/>
          <w:szCs w:val="24"/>
        </w:rPr>
      </w:pPr>
      <w:r>
        <w:rPr>
          <w:rFonts w:hint="eastAsia" w:ascii="Times New Roman" w:hAnsi="Times New Roman" w:eastAsia="宋体"/>
          <w:b/>
          <w:bCs/>
          <w:sz w:val="24"/>
          <w:szCs w:val="24"/>
          <w:lang w:val="en-US" w:eastAsia="zh-CN"/>
        </w:rPr>
        <w:t>会议主要讨论内容</w:t>
      </w:r>
    </w:p>
    <w:p w14:paraId="2AF67BC7">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今日工作定位：从架构共识转向设计落地</w:t>
      </w:r>
    </w:p>
    <w:p w14:paraId="5F137ED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小组认为，前一天会议已经回答了启动会问题清单中的关键问题：项目解决什么问题、核心用户是谁、主业务流程是什么、哪些功能先做、AI 如何解耦、服务边界如何划分。今天要继续回答的问题是：这些结论如何进入详细设计、数据库设计、接口设计和测试验收。</w:t>
      </w:r>
    </w:p>
    <w:p w14:paraId="7BAE41F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会议将今天定位为“设计材料成型与联调准备日”。因此今日工作应同时关注文档质量和后续开发可用性，不能只为了提交文档而写文档。需求说明书回答“要做什么”，4A 架构图回答“整体怎么组织”，概要设计回答“系统怎么拆”，详细设计回答“模块怎么实现”，数据库设计回答“数据怎么落”，API 对接文档回答“前后端怎么连”，联调清单回答“怎么证明做完了”。</w:t>
      </w:r>
    </w:p>
    <w:p w14:paraId="296A1C62">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主业务流程与功能优先级复核</w:t>
      </w:r>
    </w:p>
    <w:p w14:paraId="67A91EEF">
      <w:pPr>
        <w:pStyle w:val="46"/>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4"/>
          <w:szCs w:val="24"/>
        </w:rPr>
      </w:pPr>
      <w:r>
        <w:rPr>
          <w:rFonts w:ascii="Times New Roman" w:hAnsi="Times New Roman" w:eastAsia="宋体"/>
          <w:sz w:val="24"/>
          <w:szCs w:val="24"/>
        </w:rPr>
        <w:t>会议再次确认普通任务流程是首期最高优先级：</w:t>
      </w:r>
    </w:p>
    <w:tbl>
      <w:tblPr>
        <w:tblStyle w:val="1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6A2705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40A1E7B8">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用户注册登录</w:t>
            </w:r>
          </w:p>
        </w:tc>
      </w:tr>
      <w:tr w14:paraId="40D43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6ECCD204">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完成校园认证</w:t>
            </w:r>
          </w:p>
        </w:tc>
      </w:tr>
      <w:tr w14:paraId="712DA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033D6DEC">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委托人发布任务</w:t>
            </w:r>
          </w:p>
        </w:tc>
      </w:tr>
      <w:tr w14:paraId="4792F1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246957C2">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AI 辅助拆解任务、建议分类、提示风险和赏金区间</w:t>
            </w:r>
          </w:p>
        </w:tc>
      </w:tr>
      <w:tr w14:paraId="311127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457D6378">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任务进入审核或任务大厅</w:t>
            </w:r>
          </w:p>
        </w:tc>
      </w:tr>
      <w:tr w14:paraId="4FFE56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46758A8C">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猎人浏览任务并申请接单</w:t>
            </w:r>
          </w:p>
        </w:tc>
      </w:tr>
      <w:tr w14:paraId="6A8A17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652616F0">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委托人查看申请者并选择猎人</w:t>
            </w:r>
          </w:p>
        </w:tc>
      </w:tr>
      <w:tr w14:paraId="3A0B70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56D44929">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系统生成任务契约</w:t>
            </w:r>
          </w:p>
        </w:tc>
      </w:tr>
      <w:tr w14:paraId="1E2125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48A3E01F">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猎人完成任务并提交履约证据</w:t>
            </w:r>
          </w:p>
        </w:tc>
      </w:tr>
      <w:tr w14:paraId="505628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5CE108C8">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委托人确认完成</w:t>
            </w:r>
          </w:p>
        </w:tc>
      </w:tr>
      <w:tr w14:paraId="38943D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7F5998DA">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双方评价</w:t>
            </w:r>
          </w:p>
        </w:tc>
      </w:tr>
      <w:tr w14:paraId="40F44D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5460B249">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系统更新经验值、等级、信誉分、任务记录和消息通知</w:t>
            </w:r>
          </w:p>
        </w:tc>
      </w:tr>
    </w:tbl>
    <w:p w14:paraId="3E3459FA">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4"/>
          <w:szCs w:val="24"/>
        </w:rPr>
      </w:pPr>
      <w:r>
        <w:rPr>
          <w:rFonts w:ascii="Times New Roman" w:hAnsi="Times New Roman" w:eastAsia="宋体"/>
          <w:sz w:val="24"/>
          <w:szCs w:val="24"/>
        </w:rPr>
        <w:t>小法庭纠纷流程作为第二优先级：</w:t>
      </w:r>
    </w:p>
    <w:tbl>
      <w:tblPr>
        <w:tblStyle w:val="1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5633D6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3B4CB0A5">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任务发生争议</w:t>
            </w:r>
          </w:p>
        </w:tc>
      </w:tr>
      <w:tr w14:paraId="3E2237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7EFDFC10">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一方发起小法庭案件</w:t>
            </w:r>
          </w:p>
        </w:tc>
      </w:tr>
      <w:tr w14:paraId="7AF11E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06CEEE6B">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双方提交陈述和证据</w:t>
            </w:r>
          </w:p>
        </w:tc>
      </w:tr>
      <w:tr w14:paraId="6E384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1F788DD9">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AI 书记官生成案件摘要和证据分析</w:t>
            </w:r>
          </w:p>
        </w:tc>
      </w:tr>
      <w:tr w14:paraId="07A51A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755CD26F">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陪审团投票</w:t>
            </w:r>
          </w:p>
        </w:tc>
      </w:tr>
      <w:tr w14:paraId="2AC0E5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598058D5">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管理员查看证据、AI 摘要和投票结果</w:t>
            </w:r>
          </w:p>
        </w:tc>
      </w:tr>
      <w:tr w14:paraId="1949C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7EF64B6A">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管理员作出最终裁决</w:t>
            </w:r>
          </w:p>
        </w:tc>
      </w:tr>
      <w:tr w14:paraId="3BC55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45829D96">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系统更新任务状态、契约状态、信誉分、违规记录和消息通知</w:t>
            </w:r>
          </w:p>
        </w:tc>
      </w:tr>
      <w:tr w14:paraId="1AB197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Pr>
          <w:p w14:paraId="582BAE57">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1"/>
                <w:szCs w:val="21"/>
              </w:rPr>
            </w:pPr>
            <w:r>
              <w:rPr>
                <w:rFonts w:ascii="Times New Roman" w:hAnsi="Times New Roman" w:eastAsia="宋体"/>
                <w:sz w:val="21"/>
                <w:szCs w:val="21"/>
              </w:rPr>
              <w:t>→ 案件形成判例归档</w:t>
            </w:r>
          </w:p>
        </w:tc>
      </w:tr>
    </w:tbl>
    <w:p w14:paraId="1F8B26C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会议决定，详细设计说明书和联调验收清单都必须围绕这两条主线组织，不应把徽章、榜单、复杂运营配置、AI 多风格点评等扩展功能写成第一阶段必须完成内容。</w:t>
      </w:r>
    </w:p>
    <w:p w14:paraId="5E585CF5">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4A 架构图继续完善</w:t>
      </w:r>
    </w:p>
    <w:p w14:paraId="09DDFEB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小组对业务架构图、应用架构图、数据架构图和技术架构图进行了逐项讨论。</w:t>
      </w:r>
    </w:p>
    <w:p w14:paraId="32034CA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业务架构图 需要突出“校园任务悬赏与信用治理”主线，业务域至少包括用户身份域、任务悬赏域、接单履约域、评价信用域、小法庭治理域、AI 辅助域、后台管理域和消息通知域。图中要体现委托人、猎人、陪审团、管理员和 AI 书记官在不同流程中的作用。</w:t>
      </w:r>
    </w:p>
    <w:p w14:paraId="282A0E0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应用架构图 需要同时体现前端页面和后端服务。前端包括首页/任务大厅、任务详情、发布任务、我的任务、任务契约、猎人档案、小法庭、判例库、消息中心和管理后台；后端包括 gateway、用户认证、任务、接单履约、小法庭、AI、通知、后台和文件上传能力。过渡期可以继续使用 cm-auth、cm-product、cm-trade、cm-notify 等服务名，但图中要标注它们在赏金布中的业务别名。</w:t>
      </w:r>
    </w:p>
    <w:p w14:paraId="7F495E3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数据架构图 需要突出核心数据对象和数据归属。会议确认至少要包含用户、角色、校园认证、猎人档案、任务、任务分类、接单申请、任务契约、履约证据、评价、信用记录、纠纷案件、案件陈述、案件证据、投票、裁决、判例、通知、文件、AI 调用日志和管理员审计日志。数据架构图要强调过程可追溯，不能只保存最终结果。</w:t>
      </w:r>
    </w:p>
    <w:p w14:paraId="437A50F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技术架构图 继续采用前后端分离、统一网关、轻量微服务、MySQL、Redis、文件存储和日志审计的结构。会议特别要求 AI 能力在技术架构图中作为独立能力出现，即使第一阶段过渡实现可能暂时放在现有服务中，也要保留后续独立为 ai-service 的边界。</w:t>
      </w:r>
    </w:p>
    <w:p w14:paraId="75A569E9">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概要设计说明书继续完善</w:t>
      </w:r>
    </w:p>
    <w:p w14:paraId="73FA794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会议认为，概要设计说明书需要继续补充以下内容：</w:t>
      </w:r>
    </w:p>
    <w:p w14:paraId="7EE64AC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第一，补充项目范围说明。首期必须完成普通任务主链路、小法庭最小闭环、AI 辅助基础能力、后台基础治理和消息通知基础能力。完整榜单、复杂徽章、高级判例检索、复杂支付、多校区扩展等内容作为扩展功能，不进入首期硬性范围。</w:t>
      </w:r>
    </w:p>
    <w:p w14:paraId="08E4806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二，补充任务状态机。任务状态初步统一为：草稿、待审核、招募中、已派单、进行中、待确认、已完成、纠纷中、审理中、已裁决、已取消或已下架。详细设计中需要说明每个状态允许哪些角色执行哪些操作。</w:t>
      </w:r>
    </w:p>
    <w:p w14:paraId="3BB2CF0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第三，补充案件状态机。小法庭状态初步统一为：已立案、证据收集中、AI 已摘要、投票中、管理员审理中、已裁决、已归档、已驳回。数据库设计中需要为案件表设置清晰状态字段。</w:t>
      </w:r>
    </w:p>
    <w:p w14:paraId="1C63CD59">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第四，补充服务边界表。继续写清 user-service、task-service、contract-service、court-service、ai-service、notify-service、admin-service 和 file-service 的负责内容与不负责内容。过渡期可对应 cm-auth、cm-product、cm-trade、cm-notify 等模块，但文档中不能混淆能力边界。</w:t>
      </w:r>
    </w:p>
    <w:p w14:paraId="6D4B796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第五，补充核心接口分类。接口清单先按认证与用户、猎人档案、任务大厅、接单申请、任务契约与履约、评价、文件上传、小法庭、AI 书记官、消息通知和后台治理分类。</w:t>
      </w:r>
    </w:p>
    <w:p w14:paraId="6474323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第六，补充 AI 服务设计与降级策略。AI 失败时，用户仍可以手动发布任务；风险提示可以降级为固定规则；案件摘要可以由管理员人工查看；小法庭流程不能因为 AI 不可用而中断。</w:t>
      </w:r>
    </w:p>
    <w:p w14:paraId="6C6BF5E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第七，补充安全设计。包括登录鉴权、角色权限、校园认证门禁、业务状态权限、文件访问权限、证据隐私、AI 输出安全、管理员操作审计和接口限流。</w:t>
      </w:r>
    </w:p>
    <w:p w14:paraId="7D76DDB9">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详细设计说明书初版讨论</w:t>
      </w:r>
    </w:p>
    <w:p w14:paraId="10DE30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cstheme="minorBidi"/>
          <w:kern w:val="2"/>
          <w:sz w:val="24"/>
          <w:szCs w:val="24"/>
          <w:lang w:val="en-US" w:eastAsia="zh-CN" w:bidi="ar-SA"/>
          <w14:ligatures w14:val="standardContextual"/>
        </w:rPr>
      </w:pPr>
      <w:r>
        <w:rPr>
          <w:rFonts w:ascii="Times New Roman" w:hAnsi="Times New Roman" w:eastAsia="宋体"/>
          <w:sz w:val="24"/>
          <w:szCs w:val="24"/>
          <w:lang w:val="en-US" w:eastAsia="zh-CN"/>
        </w:rPr>
        <w:t>会议决定，详细设计说明书初版先追求结构完整和模块边界清楚，不要求一次性写完所有代码级细节。详细设计应比概要设计更贴近实现，重点说明“某个角色在某个状态下能做什么”“调用哪些接口”“涉及哪些数据表”“异常情况下如何处理”。</w:t>
      </w:r>
    </w:p>
    <w:p w14:paraId="2E06AFDF">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4"/>
          <w:szCs w:val="24"/>
        </w:rPr>
      </w:pPr>
      <w:r>
        <w:rPr>
          <w:rFonts w:ascii="Times New Roman" w:hAnsi="Times New Roman" w:eastAsia="宋体"/>
          <w:sz w:val="24"/>
          <w:szCs w:val="24"/>
        </w:rPr>
        <w:t>详细设计说明书初版建议结构如下：</w:t>
      </w:r>
    </w:p>
    <w:tbl>
      <w:tblPr>
        <w:tblStyle w:val="45"/>
        <w:tblW w:w="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6306"/>
      </w:tblGrid>
      <w:tr w14:paraId="2913C6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bottom w:val="single" w:color="auto" w:sz="4" w:space="0"/>
            </w:tcBorders>
            <w:vAlign w:val="bottom"/>
          </w:tcPr>
          <w:p w14:paraId="07D128B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章节</w:t>
            </w:r>
          </w:p>
        </w:tc>
        <w:tc>
          <w:tcPr>
            <w:tcBorders>
              <w:bottom w:val="single" w:color="auto" w:sz="4" w:space="0"/>
            </w:tcBorders>
            <w:vAlign w:val="bottom"/>
          </w:tcPr>
          <w:p w14:paraId="0CF1348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主要内容</w:t>
            </w:r>
          </w:p>
        </w:tc>
      </w:tr>
      <w:tr w14:paraId="2E189F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4" w:space="0"/>
            </w:tcBorders>
          </w:tcPr>
          <w:p w14:paraId="60A0225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引言</w:t>
            </w:r>
          </w:p>
        </w:tc>
        <w:tc>
          <w:tcPr>
            <w:tcBorders>
              <w:top w:val="single" w:color="auto" w:sz="4" w:space="0"/>
            </w:tcBorders>
          </w:tcPr>
          <w:p w14:paraId="2387F99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背景介绍、编写目的、术语定义、参考资料</w:t>
            </w:r>
          </w:p>
        </w:tc>
      </w:tr>
      <w:tr w14:paraId="148D0B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F5DD4F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程序系统结构</w:t>
            </w:r>
          </w:p>
        </w:tc>
        <w:tc>
          <w:p w14:paraId="0D0776E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系统应用架构、总体结构、模块关系</w:t>
            </w:r>
          </w:p>
        </w:tc>
      </w:tr>
      <w:tr w14:paraId="355289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5A1160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用户身份模块</w:t>
            </w:r>
          </w:p>
        </w:tc>
        <w:tc>
          <w:p w14:paraId="691C25B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注册、登录、校园认证、用户资料、角色权限、猎人档案入口</w:t>
            </w:r>
          </w:p>
        </w:tc>
      </w:tr>
      <w:tr w14:paraId="56A74D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05B879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任务悬赏模块</w:t>
            </w:r>
          </w:p>
        </w:tc>
        <w:tc>
          <w:p w14:paraId="0847CBF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任务发布、草稿、分类、审核、任务大厅、任务详情</w:t>
            </w:r>
          </w:p>
        </w:tc>
      </w:tr>
      <w:tr w14:paraId="52AFB5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76C700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接单申请模块</w:t>
            </w:r>
          </w:p>
        </w:tc>
        <w:tc>
          <w:p w14:paraId="5A2D935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猎人申请、取消申请、委托人查看申请、选择猎人</w:t>
            </w:r>
          </w:p>
        </w:tc>
      </w:tr>
      <w:tr w14:paraId="04A8B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997697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契约履约模块</w:t>
            </w:r>
          </w:p>
        </w:tc>
        <w:tc>
          <w:p w14:paraId="43C4BB5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生成契约、提交证据、提交完成、确认完成、状态流转</w:t>
            </w:r>
          </w:p>
        </w:tc>
      </w:tr>
      <w:tr w14:paraId="7D4385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7D8016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评价信用模块</w:t>
            </w:r>
          </w:p>
        </w:tc>
        <w:tc>
          <w:p w14:paraId="6CCF829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双方评价、信誉变化、经验增长、等级和徽章触发</w:t>
            </w:r>
          </w:p>
        </w:tc>
      </w:tr>
      <w:tr w14:paraId="1EA847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CB7F22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小法庭模块</w:t>
            </w:r>
          </w:p>
        </w:tc>
        <w:tc>
          <w:p w14:paraId="79D05C8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发起纠纷、双方陈述、证据墙、投票、裁决、判例归档</w:t>
            </w:r>
          </w:p>
        </w:tc>
      </w:tr>
      <w:tr w14:paraId="467F4A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F5577F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AI 书记官模块</w:t>
            </w:r>
          </w:p>
        </w:tc>
        <w:tc>
          <w:p w14:paraId="2773708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任务拆解、赏金建议、风险提示、案件摘要、证据分析</w:t>
            </w:r>
          </w:p>
        </w:tc>
      </w:tr>
      <w:tr w14:paraId="3FE9D0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9724F7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消息通知模块</w:t>
            </w:r>
          </w:p>
        </w:tc>
        <w:tc>
          <w:p w14:paraId="05EE9DA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申请、选中、履约、确认、评价、纠纷、裁决通知</w:t>
            </w:r>
          </w:p>
        </w:tc>
      </w:tr>
      <w:tr w14:paraId="03E5C7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FA0D8B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后台治理模块</w:t>
            </w:r>
          </w:p>
        </w:tc>
        <w:tc>
          <w:p w14:paraId="0F64D63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用户管理、认证审核、任务审核、案件裁决、运营配置、审计日志</w:t>
            </w:r>
          </w:p>
        </w:tc>
      </w:tr>
      <w:tr w14:paraId="5F3393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AF63E5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文件管理模块</w:t>
            </w:r>
          </w:p>
        </w:tc>
        <w:tc>
          <w:p w14:paraId="68E7A5F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任务封面、履约证据、案件证据、认证材料、访问权限</w:t>
            </w:r>
          </w:p>
        </w:tc>
      </w:tr>
      <w:tr w14:paraId="02DCF2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16FA72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接口设计</w:t>
            </w:r>
          </w:p>
        </w:tc>
        <w:tc>
          <w:p w14:paraId="26702F2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统一响应格式、接口命名、请求参数、响应字段、错误码</w:t>
            </w:r>
          </w:p>
        </w:tc>
      </w:tr>
      <w:tr w14:paraId="2193F6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C0F24B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异常与安全设计</w:t>
            </w:r>
          </w:p>
        </w:tc>
        <w:tc>
          <w:p w14:paraId="45D94D8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登录失效、权限不足、状态非法、文件超限、AI 调用失败</w:t>
            </w:r>
          </w:p>
        </w:tc>
      </w:tr>
      <w:tr w14:paraId="0F1FD6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189A98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测试计划</w:t>
            </w:r>
          </w:p>
        </w:tc>
        <w:tc>
          <w:p w14:paraId="1FD83CC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主链路测试、小法庭测试、权限测试、异常测试、联调验收</w:t>
            </w:r>
          </w:p>
        </w:tc>
      </w:tr>
    </w:tbl>
    <w:p w14:paraId="692F5EB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特别强调，详细设计中要避免继续使用“商品、买家、卖家、订单、发货、收货”等旧商城表达。过渡实现可以复用旧模块，但正式文档必须使用“任务、委托人、猎人、申请、契约、履约证据、确认完成、小法庭”等新业务语义。</w:t>
      </w:r>
    </w:p>
    <w:p w14:paraId="37186242">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数据库设计说明书初版讨论</w:t>
      </w:r>
    </w:p>
    <w:p w14:paraId="493E2B6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会议决定，数据库设计说明书初版先围绕核心业务闭环建立表结构，不急于设计复杂统计、推荐算法、商业化运营或高级玩法表。</w:t>
      </w:r>
    </w:p>
    <w:p w14:paraId="13B5013F">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4"/>
          <w:szCs w:val="24"/>
        </w:rPr>
      </w:pPr>
      <w:r>
        <w:rPr>
          <w:rFonts w:ascii="Times New Roman" w:hAnsi="Times New Roman" w:eastAsia="宋体"/>
          <w:sz w:val="24"/>
          <w:szCs w:val="24"/>
        </w:rPr>
        <w:t>核心数据表初步分为以下几类：</w:t>
      </w:r>
    </w:p>
    <w:tbl>
      <w:tblPr>
        <w:tblStyle w:val="45"/>
        <w:tblW w:w="5000" w:type="pct"/>
        <w:jc w:val="center"/>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75"/>
        <w:gridCol w:w="4141"/>
        <w:gridCol w:w="3106"/>
      </w:tblGrid>
      <w:tr w14:paraId="59CA0504">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Borders>
              <w:bottom w:val="single" w:color="auto" w:sz="4" w:space="0"/>
            </w:tcBorders>
            <w:vAlign w:val="bottom"/>
          </w:tcPr>
          <w:p w14:paraId="2DC53E3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数据类别</w:t>
            </w:r>
          </w:p>
        </w:tc>
        <w:tc>
          <w:tcPr>
            <w:tcW w:w="2429" w:type="pct"/>
            <w:tcBorders>
              <w:bottom w:val="single" w:color="auto" w:sz="4" w:space="0"/>
            </w:tcBorders>
            <w:vAlign w:val="bottom"/>
          </w:tcPr>
          <w:p w14:paraId="7ABAA24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建议核心表</w:t>
            </w:r>
          </w:p>
        </w:tc>
        <w:tc>
          <w:tcPr>
            <w:tcW w:w="1822" w:type="pct"/>
            <w:tcBorders>
              <w:bottom w:val="single" w:color="auto" w:sz="4" w:space="0"/>
            </w:tcBorders>
            <w:vAlign w:val="bottom"/>
          </w:tcPr>
          <w:p w14:paraId="41C145A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说明</w:t>
            </w:r>
          </w:p>
        </w:tc>
      </w:tr>
      <w:tr w14:paraId="25D482D0">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Borders>
              <w:top w:val="single" w:color="auto" w:sz="4" w:space="0"/>
            </w:tcBorders>
          </w:tcPr>
          <w:p w14:paraId="740536C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用户与认证</w:t>
            </w:r>
          </w:p>
        </w:tc>
        <w:tc>
          <w:tcPr>
            <w:tcW w:w="2429" w:type="pct"/>
            <w:tcBorders>
              <w:top w:val="single" w:color="auto" w:sz="4" w:space="0"/>
            </w:tcBorders>
          </w:tcPr>
          <w:p w14:paraId="78E324F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sys_user</w:t>
            </w:r>
            <w:r>
              <w:rPr>
                <w:rFonts w:ascii="Times New Roman" w:hAnsi="Times New Roman" w:eastAsia="宋体"/>
                <w:sz w:val="21"/>
                <w:szCs w:val="21"/>
              </w:rPr>
              <w:t>、</w:t>
            </w:r>
            <w:r>
              <w:rPr>
                <w:rStyle w:val="41"/>
                <w:rFonts w:ascii="Times New Roman" w:hAnsi="Times New Roman" w:eastAsia="宋体"/>
                <w:sz w:val="21"/>
                <w:szCs w:val="21"/>
              </w:rPr>
              <w:t>user_profile</w:t>
            </w:r>
            <w:r>
              <w:rPr>
                <w:rFonts w:ascii="Times New Roman" w:hAnsi="Times New Roman" w:eastAsia="宋体"/>
                <w:sz w:val="21"/>
                <w:szCs w:val="21"/>
              </w:rPr>
              <w:t>、</w:t>
            </w:r>
            <w:r>
              <w:rPr>
                <w:rStyle w:val="41"/>
                <w:rFonts w:ascii="Times New Roman" w:hAnsi="Times New Roman" w:eastAsia="宋体"/>
                <w:sz w:val="21"/>
                <w:szCs w:val="21"/>
              </w:rPr>
              <w:t>campus_certification</w:t>
            </w:r>
            <w:r>
              <w:rPr>
                <w:rFonts w:ascii="Times New Roman" w:hAnsi="Times New Roman" w:eastAsia="宋体"/>
                <w:sz w:val="21"/>
                <w:szCs w:val="21"/>
              </w:rPr>
              <w:t>、</w:t>
            </w:r>
            <w:r>
              <w:rPr>
                <w:rStyle w:val="41"/>
                <w:rFonts w:ascii="Times New Roman" w:hAnsi="Times New Roman" w:eastAsia="宋体"/>
                <w:sz w:val="21"/>
                <w:szCs w:val="21"/>
              </w:rPr>
              <w:t>sys_user_role</w:t>
            </w:r>
          </w:p>
        </w:tc>
        <w:tc>
          <w:tcPr>
            <w:tcW w:w="1822" w:type="pct"/>
            <w:tcBorders>
              <w:top w:val="single" w:color="auto" w:sz="4" w:space="0"/>
            </w:tcBorders>
          </w:tcPr>
          <w:p w14:paraId="324C30E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保存账号、资料、角色、校园认证状态</w:t>
            </w:r>
          </w:p>
        </w:tc>
      </w:tr>
      <w:tr w14:paraId="7F21F6B8">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1941FEC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猎人成长</w:t>
            </w:r>
          </w:p>
        </w:tc>
        <w:tc>
          <w:tcPr>
            <w:tcW w:w="2429" w:type="pct"/>
          </w:tcPr>
          <w:p w14:paraId="7BA4E6F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hunter_profile</w:t>
            </w:r>
            <w:r>
              <w:rPr>
                <w:rFonts w:ascii="Times New Roman" w:hAnsi="Times New Roman" w:eastAsia="宋体"/>
                <w:sz w:val="21"/>
                <w:szCs w:val="21"/>
              </w:rPr>
              <w:t>、</w:t>
            </w:r>
            <w:r>
              <w:rPr>
                <w:rStyle w:val="41"/>
                <w:rFonts w:ascii="Times New Roman" w:hAnsi="Times New Roman" w:eastAsia="宋体"/>
                <w:sz w:val="21"/>
                <w:szCs w:val="21"/>
              </w:rPr>
              <w:t>hunter_level_rule</w:t>
            </w:r>
            <w:r>
              <w:rPr>
                <w:rFonts w:ascii="Times New Roman" w:hAnsi="Times New Roman" w:eastAsia="宋体"/>
                <w:sz w:val="21"/>
                <w:szCs w:val="21"/>
              </w:rPr>
              <w:t>、</w:t>
            </w:r>
            <w:r>
              <w:rPr>
                <w:rStyle w:val="41"/>
                <w:rFonts w:ascii="Times New Roman" w:hAnsi="Times New Roman" w:eastAsia="宋体"/>
                <w:sz w:val="21"/>
                <w:szCs w:val="21"/>
              </w:rPr>
              <w:t>hunter_badge</w:t>
            </w:r>
            <w:r>
              <w:rPr>
                <w:rFonts w:ascii="Times New Roman" w:hAnsi="Times New Roman" w:eastAsia="宋体"/>
                <w:sz w:val="21"/>
                <w:szCs w:val="21"/>
              </w:rPr>
              <w:t>、</w:t>
            </w:r>
            <w:r>
              <w:rPr>
                <w:rStyle w:val="41"/>
                <w:rFonts w:ascii="Times New Roman" w:hAnsi="Times New Roman" w:eastAsia="宋体"/>
                <w:sz w:val="21"/>
                <w:szCs w:val="21"/>
              </w:rPr>
              <w:t>user_badge</w:t>
            </w:r>
            <w:r>
              <w:rPr>
                <w:rFonts w:ascii="Times New Roman" w:hAnsi="Times New Roman" w:eastAsia="宋体"/>
                <w:sz w:val="21"/>
                <w:szCs w:val="21"/>
              </w:rPr>
              <w:t>、</w:t>
            </w:r>
            <w:r>
              <w:rPr>
                <w:rStyle w:val="41"/>
                <w:rFonts w:ascii="Times New Roman" w:hAnsi="Times New Roman" w:eastAsia="宋体"/>
                <w:sz w:val="21"/>
                <w:szCs w:val="21"/>
              </w:rPr>
              <w:t>credit_log</w:t>
            </w:r>
          </w:p>
        </w:tc>
        <w:tc>
          <w:tcPr>
            <w:tcW w:w="1822" w:type="pct"/>
          </w:tcPr>
          <w:p w14:paraId="032C49C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保存经验、等级、称号、徽章、信誉变化</w:t>
            </w:r>
          </w:p>
        </w:tc>
      </w:tr>
      <w:tr w14:paraId="6D4EB8DD">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2DAF93D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任务悬赏</w:t>
            </w:r>
          </w:p>
        </w:tc>
        <w:tc>
          <w:tcPr>
            <w:tcW w:w="2429" w:type="pct"/>
          </w:tcPr>
          <w:p w14:paraId="201DC68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task</w:t>
            </w:r>
            <w:r>
              <w:rPr>
                <w:rFonts w:ascii="Times New Roman" w:hAnsi="Times New Roman" w:eastAsia="宋体"/>
                <w:sz w:val="21"/>
                <w:szCs w:val="21"/>
              </w:rPr>
              <w:t>、</w:t>
            </w:r>
            <w:r>
              <w:rPr>
                <w:rStyle w:val="41"/>
                <w:rFonts w:ascii="Times New Roman" w:hAnsi="Times New Roman" w:eastAsia="宋体"/>
                <w:sz w:val="21"/>
                <w:szCs w:val="21"/>
              </w:rPr>
              <w:t>task_category</w:t>
            </w:r>
            <w:r>
              <w:rPr>
                <w:rFonts w:ascii="Times New Roman" w:hAnsi="Times New Roman" w:eastAsia="宋体"/>
                <w:sz w:val="21"/>
                <w:szCs w:val="21"/>
              </w:rPr>
              <w:t>、</w:t>
            </w:r>
            <w:r>
              <w:rPr>
                <w:rStyle w:val="41"/>
                <w:rFonts w:ascii="Times New Roman" w:hAnsi="Times New Roman" w:eastAsia="宋体"/>
                <w:sz w:val="21"/>
                <w:szCs w:val="21"/>
              </w:rPr>
              <w:t>task_template</w:t>
            </w:r>
            <w:r>
              <w:rPr>
                <w:rFonts w:ascii="Times New Roman" w:hAnsi="Times New Roman" w:eastAsia="宋体"/>
                <w:sz w:val="21"/>
                <w:szCs w:val="21"/>
              </w:rPr>
              <w:t>、</w:t>
            </w:r>
            <w:r>
              <w:rPr>
                <w:rStyle w:val="41"/>
                <w:rFonts w:ascii="Times New Roman" w:hAnsi="Times New Roman" w:eastAsia="宋体"/>
                <w:sz w:val="21"/>
                <w:szCs w:val="21"/>
              </w:rPr>
              <w:t>task_status_log</w:t>
            </w:r>
          </w:p>
        </w:tc>
        <w:tc>
          <w:tcPr>
            <w:tcW w:w="1822" w:type="pct"/>
          </w:tcPr>
          <w:p w14:paraId="69EFBD4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保存任务主数据、分类、模板和状态变化</w:t>
            </w:r>
          </w:p>
        </w:tc>
      </w:tr>
      <w:tr w14:paraId="27B67B11">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66D833B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接单申请</w:t>
            </w:r>
          </w:p>
        </w:tc>
        <w:tc>
          <w:tcPr>
            <w:tcW w:w="2429" w:type="pct"/>
          </w:tcPr>
          <w:p w14:paraId="158C99C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task_application</w:t>
            </w:r>
          </w:p>
        </w:tc>
        <w:tc>
          <w:tcPr>
            <w:tcW w:w="1822" w:type="pct"/>
          </w:tcPr>
          <w:p w14:paraId="78982E2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保存猎人申请、申请说明、预计完成时间和申请状态</w:t>
            </w:r>
          </w:p>
        </w:tc>
      </w:tr>
      <w:tr w14:paraId="0C9A70EA">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4924C84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任务契约</w:t>
            </w:r>
          </w:p>
        </w:tc>
        <w:tc>
          <w:tcPr>
            <w:tcW w:w="2429" w:type="pct"/>
          </w:tcPr>
          <w:p w14:paraId="7071EE7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task_contract</w:t>
            </w:r>
          </w:p>
        </w:tc>
        <w:tc>
          <w:tcPr>
            <w:tcW w:w="1822" w:type="pct"/>
          </w:tcPr>
          <w:p w14:paraId="67FD540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保存委托人、猎人、任务快照、赏金、完成标准和契约状态</w:t>
            </w:r>
          </w:p>
        </w:tc>
      </w:tr>
      <w:tr w14:paraId="1226E477">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7C9A708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履约证据</w:t>
            </w:r>
          </w:p>
        </w:tc>
        <w:tc>
          <w:tcPr>
            <w:tcW w:w="2429" w:type="pct"/>
          </w:tcPr>
          <w:p w14:paraId="4E16E65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task_evidence</w:t>
            </w:r>
          </w:p>
        </w:tc>
        <w:tc>
          <w:tcPr>
            <w:tcW w:w="1822" w:type="pct"/>
          </w:tcPr>
          <w:p w14:paraId="4076D48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保存文字说明、图片、附件、提交时间和证据状态</w:t>
            </w:r>
          </w:p>
        </w:tc>
      </w:tr>
      <w:tr w14:paraId="2E8E4CC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500CD88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双方评价</w:t>
            </w:r>
          </w:p>
        </w:tc>
        <w:tc>
          <w:tcPr>
            <w:tcW w:w="2429" w:type="pct"/>
          </w:tcPr>
          <w:p w14:paraId="3362601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task_review</w:t>
            </w:r>
          </w:p>
        </w:tc>
        <w:tc>
          <w:tcPr>
            <w:tcW w:w="1822" w:type="pct"/>
          </w:tcPr>
          <w:p w14:paraId="3AC5F2C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保存评价方向、评分、标签、文字评价和可见状态</w:t>
            </w:r>
          </w:p>
        </w:tc>
      </w:tr>
      <w:tr w14:paraId="13FF21E2">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6218E04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小法庭</w:t>
            </w:r>
          </w:p>
        </w:tc>
        <w:tc>
          <w:tcPr>
            <w:tcW w:w="2429" w:type="pct"/>
          </w:tcPr>
          <w:p w14:paraId="1C1575B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court_case</w:t>
            </w:r>
            <w:r>
              <w:rPr>
                <w:rFonts w:ascii="Times New Roman" w:hAnsi="Times New Roman" w:eastAsia="宋体"/>
                <w:sz w:val="21"/>
                <w:szCs w:val="21"/>
              </w:rPr>
              <w:t>、</w:t>
            </w:r>
            <w:r>
              <w:rPr>
                <w:rStyle w:val="41"/>
                <w:rFonts w:ascii="Times New Roman" w:hAnsi="Times New Roman" w:eastAsia="宋体"/>
                <w:sz w:val="21"/>
                <w:szCs w:val="21"/>
              </w:rPr>
              <w:t>court_statement</w:t>
            </w:r>
            <w:r>
              <w:rPr>
                <w:rFonts w:ascii="Times New Roman" w:hAnsi="Times New Roman" w:eastAsia="宋体"/>
                <w:sz w:val="21"/>
                <w:szCs w:val="21"/>
              </w:rPr>
              <w:t>、</w:t>
            </w:r>
            <w:r>
              <w:rPr>
                <w:rStyle w:val="41"/>
                <w:rFonts w:ascii="Times New Roman" w:hAnsi="Times New Roman" w:eastAsia="宋体"/>
                <w:sz w:val="21"/>
                <w:szCs w:val="21"/>
              </w:rPr>
              <w:t>court_evidence</w:t>
            </w:r>
            <w:r>
              <w:rPr>
                <w:rFonts w:ascii="Times New Roman" w:hAnsi="Times New Roman" w:eastAsia="宋体"/>
                <w:sz w:val="21"/>
                <w:szCs w:val="21"/>
              </w:rPr>
              <w:t>、</w:t>
            </w:r>
            <w:r>
              <w:rPr>
                <w:rStyle w:val="41"/>
                <w:rFonts w:ascii="Times New Roman" w:hAnsi="Times New Roman" w:eastAsia="宋体"/>
                <w:sz w:val="21"/>
                <w:szCs w:val="21"/>
              </w:rPr>
              <w:t>court_vote</w:t>
            </w:r>
            <w:r>
              <w:rPr>
                <w:rFonts w:ascii="Times New Roman" w:hAnsi="Times New Roman" w:eastAsia="宋体"/>
                <w:sz w:val="21"/>
                <w:szCs w:val="21"/>
              </w:rPr>
              <w:t>、</w:t>
            </w:r>
            <w:r>
              <w:rPr>
                <w:rStyle w:val="41"/>
                <w:rFonts w:ascii="Times New Roman" w:hAnsi="Times New Roman" w:eastAsia="宋体"/>
                <w:sz w:val="21"/>
                <w:szCs w:val="21"/>
              </w:rPr>
              <w:t>court_ruling</w:t>
            </w:r>
            <w:r>
              <w:rPr>
                <w:rFonts w:ascii="Times New Roman" w:hAnsi="Times New Roman" w:eastAsia="宋体"/>
                <w:sz w:val="21"/>
                <w:szCs w:val="21"/>
              </w:rPr>
              <w:t>、</w:t>
            </w:r>
            <w:r>
              <w:rPr>
                <w:rStyle w:val="41"/>
                <w:rFonts w:ascii="Times New Roman" w:hAnsi="Times New Roman" w:eastAsia="宋体"/>
                <w:sz w:val="21"/>
                <w:szCs w:val="21"/>
              </w:rPr>
              <w:t>court_precedent</w:t>
            </w:r>
          </w:p>
        </w:tc>
        <w:tc>
          <w:tcPr>
            <w:tcW w:w="1822" w:type="pct"/>
          </w:tcPr>
          <w:p w14:paraId="51AF49B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保存案件、陈述、证据、投票、裁决和判例</w:t>
            </w:r>
          </w:p>
        </w:tc>
      </w:tr>
      <w:tr w14:paraId="6769AF2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559E4EC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AI 书记官</w:t>
            </w:r>
          </w:p>
        </w:tc>
        <w:tc>
          <w:tcPr>
            <w:tcW w:w="2429" w:type="pct"/>
          </w:tcPr>
          <w:p w14:paraId="04D737D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ai_output_log</w:t>
            </w:r>
            <w:r>
              <w:rPr>
                <w:rFonts w:ascii="Times New Roman" w:hAnsi="Times New Roman" w:eastAsia="宋体"/>
                <w:sz w:val="21"/>
                <w:szCs w:val="21"/>
              </w:rPr>
              <w:t>、</w:t>
            </w:r>
            <w:r>
              <w:rPr>
                <w:rStyle w:val="41"/>
                <w:rFonts w:ascii="Times New Roman" w:hAnsi="Times New Roman" w:eastAsia="宋体"/>
                <w:sz w:val="21"/>
                <w:szCs w:val="21"/>
              </w:rPr>
              <w:t>ai_prompt_template</w:t>
            </w:r>
          </w:p>
        </w:tc>
        <w:tc>
          <w:tcPr>
            <w:tcW w:w="1822" w:type="pct"/>
          </w:tcPr>
          <w:p w14:paraId="0D2EE75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 AI 请求、输出、调用状态、场景类型和 Prompt 模板</w:t>
            </w:r>
          </w:p>
        </w:tc>
      </w:tr>
      <w:tr w14:paraId="440E6469">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3EA8FC1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消息通知</w:t>
            </w:r>
          </w:p>
        </w:tc>
        <w:tc>
          <w:tcPr>
            <w:tcW w:w="2429" w:type="pct"/>
          </w:tcPr>
          <w:p w14:paraId="0BEDAC4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biz_message</w:t>
            </w:r>
            <w:r>
              <w:rPr>
                <w:rFonts w:ascii="Times New Roman" w:hAnsi="Times New Roman" w:eastAsia="宋体"/>
                <w:sz w:val="21"/>
                <w:szCs w:val="21"/>
              </w:rPr>
              <w:t xml:space="preserve"> 或 </w:t>
            </w:r>
            <w:r>
              <w:rPr>
                <w:rStyle w:val="41"/>
                <w:rFonts w:ascii="Times New Roman" w:hAnsi="Times New Roman" w:eastAsia="宋体"/>
                <w:sz w:val="21"/>
                <w:szCs w:val="21"/>
              </w:rPr>
              <w:t>notification</w:t>
            </w:r>
          </w:p>
        </w:tc>
        <w:tc>
          <w:tcPr>
            <w:tcW w:w="1822" w:type="pct"/>
          </w:tcPr>
          <w:p w14:paraId="38982A8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保存通知类型、接收人、关联业务、已读状态</w:t>
            </w:r>
          </w:p>
        </w:tc>
      </w:tr>
      <w:tr w14:paraId="6B30894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198EDC4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文件管理</w:t>
            </w:r>
          </w:p>
        </w:tc>
        <w:tc>
          <w:tcPr>
            <w:tcW w:w="2429" w:type="pct"/>
          </w:tcPr>
          <w:p w14:paraId="36821C2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file_resource</w:t>
            </w:r>
            <w:r>
              <w:rPr>
                <w:rFonts w:ascii="Times New Roman" w:hAnsi="Times New Roman" w:eastAsia="宋体"/>
                <w:sz w:val="21"/>
                <w:szCs w:val="21"/>
              </w:rPr>
              <w:t xml:space="preserve"> 或现有上传记录</w:t>
            </w:r>
          </w:p>
        </w:tc>
        <w:tc>
          <w:tcPr>
            <w:tcW w:w="1822" w:type="pct"/>
          </w:tcPr>
          <w:p w14:paraId="4281D13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保存文件路径、上传人、用途、访问权限</w:t>
            </w:r>
          </w:p>
        </w:tc>
      </w:tr>
      <w:tr w14:paraId="7C8C26E5">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48" w:type="pct"/>
          </w:tcPr>
          <w:p w14:paraId="36CF84A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后台审计</w:t>
            </w:r>
          </w:p>
        </w:tc>
        <w:tc>
          <w:tcPr>
            <w:tcW w:w="2429" w:type="pct"/>
          </w:tcPr>
          <w:p w14:paraId="735AD86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Style w:val="41"/>
                <w:rFonts w:ascii="Times New Roman" w:hAnsi="Times New Roman" w:eastAsia="宋体"/>
                <w:sz w:val="21"/>
                <w:szCs w:val="21"/>
              </w:rPr>
              <w:t>sys_audit_log</w:t>
            </w:r>
            <w:r>
              <w:rPr>
                <w:rFonts w:ascii="Times New Roman" w:hAnsi="Times New Roman" w:eastAsia="宋体"/>
                <w:sz w:val="21"/>
                <w:szCs w:val="21"/>
              </w:rPr>
              <w:t>、</w:t>
            </w:r>
            <w:r>
              <w:rPr>
                <w:rStyle w:val="41"/>
                <w:rFonts w:ascii="Times New Roman" w:hAnsi="Times New Roman" w:eastAsia="宋体"/>
                <w:sz w:val="21"/>
                <w:szCs w:val="21"/>
              </w:rPr>
              <w:t>violation_record</w:t>
            </w:r>
          </w:p>
        </w:tc>
        <w:tc>
          <w:tcPr>
            <w:tcW w:w="1822" w:type="pct"/>
          </w:tcPr>
          <w:p w14:paraId="199A917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保存管理员操作审计、违规记录和处理结果</w:t>
            </w:r>
          </w:p>
        </w:tc>
      </w:tr>
    </w:tbl>
    <w:p w14:paraId="0D5AE554">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会议确认，任务表、申请表、契约表、证据表、评价表、案件表、投票表、裁决表、通知表和 AI 日志表都需要明确状态字段或场景字段，后端不能依赖模糊文本判断流程。</w:t>
      </w:r>
    </w:p>
    <w:p w14:paraId="5EEB200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数据库设计中还需要体现数据归属：用户和猎人成长数据归用户服务，任务数据归任务服务，申请、契约、履约、评价归接单履约服务，小法庭案件、投票、裁决和判例归小法庭服务，AI 输出记录归 AI 服务，消息和审计归通知/后台治理能力。</w:t>
      </w:r>
    </w:p>
    <w:p w14:paraId="08E350FB">
      <w:pPr>
        <w:pStyle w:val="34"/>
        <w:keepNext w:val="0"/>
        <w:keepLines w:val="0"/>
        <w:pageBreakBefore w:val="0"/>
        <w:widowControl w:val="0"/>
        <w:numPr>
          <w:ilvl w:val="0"/>
          <w:numId w:val="3"/>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r>
        <w:rPr>
          <w:rFonts w:ascii="Times New Roman" w:hAnsi="Times New Roman" w:eastAsia="宋体"/>
          <w:b/>
          <w:bCs/>
          <w:sz w:val="24"/>
          <w:szCs w:val="24"/>
        </w:rPr>
        <w:t>当前风险与控制方式讨论</w:t>
      </w:r>
    </w:p>
    <w:p w14:paraId="2877040D">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会议结合项目启动会问题清单和当前文档情况，总结了以下风险：</w:t>
      </w:r>
    </w:p>
    <w:tbl>
      <w:tblPr>
        <w:tblStyle w:val="45"/>
        <w:tblW w:w="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8"/>
        <w:gridCol w:w="3164"/>
        <w:gridCol w:w="3530"/>
      </w:tblGrid>
      <w:tr w14:paraId="5464D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jc w:val="center"/>
        </w:trPr>
        <w:tc>
          <w:tcPr>
            <w:tcBorders>
              <w:bottom w:val="single" w:color="auto" w:sz="4" w:space="0"/>
            </w:tcBorders>
            <w:vAlign w:val="bottom"/>
          </w:tcPr>
          <w:p w14:paraId="066550E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风险</w:t>
            </w:r>
          </w:p>
        </w:tc>
        <w:tc>
          <w:tcPr>
            <w:tcBorders>
              <w:bottom w:val="single" w:color="auto" w:sz="4" w:space="0"/>
            </w:tcBorders>
            <w:vAlign w:val="bottom"/>
          </w:tcPr>
          <w:p w14:paraId="650CF94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可能影响</w:t>
            </w:r>
          </w:p>
        </w:tc>
        <w:tc>
          <w:tcPr>
            <w:tcBorders>
              <w:bottom w:val="single" w:color="auto" w:sz="4" w:space="0"/>
            </w:tcBorders>
            <w:vAlign w:val="bottom"/>
          </w:tcPr>
          <w:p w14:paraId="1772986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应对措施</w:t>
            </w:r>
          </w:p>
        </w:tc>
      </w:tr>
      <w:tr w14:paraId="7550FE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4" w:space="0"/>
            </w:tcBorders>
          </w:tcPr>
          <w:p w14:paraId="469B061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文档数量较多，容易口径不一致</w:t>
            </w:r>
          </w:p>
        </w:tc>
        <w:tc>
          <w:tcPr>
            <w:tcBorders>
              <w:top w:val="single" w:color="auto" w:sz="4" w:space="0"/>
            </w:tcBorders>
          </w:tcPr>
          <w:p w14:paraId="4050FCF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架构图、概要设计、详细设计、数据库设计和接口文档互相冲突</w:t>
            </w:r>
          </w:p>
        </w:tc>
        <w:tc>
          <w:tcPr>
            <w:tcBorders>
              <w:top w:val="single" w:color="auto" w:sz="4" w:space="0"/>
            </w:tcBorders>
          </w:tcPr>
          <w:p w14:paraId="55FBD0C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统一以需求说明、6 月 30 日会议结论和赏金布 API 过渡设计为基准</w:t>
            </w:r>
          </w:p>
        </w:tc>
      </w:tr>
      <w:tr w14:paraId="154BB5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9AF3F9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旧商城语义残留</w:t>
            </w:r>
          </w:p>
        </w:tc>
        <w:tc>
          <w:p w14:paraId="5F3DF44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前端页面和后端接口仍出现商品、订单、买家、卖家等字段</w:t>
            </w:r>
          </w:p>
        </w:tc>
        <w:tc>
          <w:p w14:paraId="7093EA0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接口层和文档层统一改为任务、委托人、猎人、申请、契约等语义</w:t>
            </w:r>
          </w:p>
        </w:tc>
      </w:tr>
      <w:tr w14:paraId="46A0AF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246E40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服务拆分过细</w:t>
            </w:r>
          </w:p>
        </w:tc>
        <w:tc>
          <w:p w14:paraId="4FFB25F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学生项目联调成本过高</w:t>
            </w:r>
          </w:p>
        </w:tc>
        <w:tc>
          <w:p w14:paraId="4401436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文档保留清晰边界，实现阶段允许过渡复用现有服务</w:t>
            </w:r>
          </w:p>
        </w:tc>
      </w:tr>
      <w:tr w14:paraId="4E1D3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953668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接口契约不清</w:t>
            </w:r>
          </w:p>
        </w:tc>
        <w:tc>
          <w:p w14:paraId="5D09532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前后端联调时字段、鉴权、状态码和副作用不一致</w:t>
            </w:r>
          </w:p>
        </w:tc>
        <w:tc>
          <w:p w14:paraId="73B7CFD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优先整理接口清单和 DTO，按页面到 API 的关系检查</w:t>
            </w:r>
          </w:p>
        </w:tc>
      </w:tr>
      <w:tr w14:paraId="05DFD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6956AE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数据库表设计过多</w:t>
            </w:r>
          </w:p>
        </w:tc>
        <w:tc>
          <w:p w14:paraId="06150E1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开发和联调负担增加</w:t>
            </w:r>
          </w:p>
        </w:tc>
        <w:tc>
          <w:p w14:paraId="070AABC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第一版只保留主链路和小法庭最小闭环核心表</w:t>
            </w:r>
          </w:p>
        </w:tc>
      </w:tr>
      <w:tr w14:paraId="36003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01E81D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小法庭流程复杂</w:t>
            </w:r>
          </w:p>
        </w:tc>
        <w:tc>
          <w:p w14:paraId="600F637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影响普通任务主链路开发</w:t>
            </w:r>
          </w:p>
        </w:tc>
        <w:tc>
          <w:p w14:paraId="7B83160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首期只做立案、证据、投票、裁决、归档的最小闭环</w:t>
            </w:r>
          </w:p>
        </w:tc>
      </w:tr>
      <w:tr w14:paraId="3F2B51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37F456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AI 功能边界不清</w:t>
            </w:r>
          </w:p>
        </w:tc>
        <w:tc>
          <w:p w14:paraId="04029A4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被误解为自动裁决或自动处罚</w:t>
            </w:r>
          </w:p>
        </w:tc>
        <w:tc>
          <w:p w14:paraId="36EF083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所有文档反复明确 AI 只辅助，不直接改状态、不直接处罚用户</w:t>
            </w:r>
          </w:p>
        </w:tc>
      </w:tr>
      <w:tr w14:paraId="70196A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9DF2C4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前端 mock 与真实后端差异</w:t>
            </w:r>
          </w:p>
        </w:tc>
        <w:tc>
          <w:p w14:paraId="09B6352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页面可跑但真实联调失败</w:t>
            </w:r>
          </w:p>
        </w:tc>
        <w:tc>
          <w:p w14:paraId="14EE0E4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mock 结果只作为前端开发依据，最终按联调清单验收</w:t>
            </w:r>
          </w:p>
        </w:tc>
      </w:tr>
      <w:tr w14:paraId="5F3EEF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3625F8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审计和状态日志缺失</w:t>
            </w:r>
          </w:p>
        </w:tc>
        <w:tc>
          <w:p w14:paraId="6EFA27E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后续纠纷、裁决和演示难以追溯</w:t>
            </w:r>
          </w:p>
        </w:tc>
        <w:tc>
          <w:p w14:paraId="6FD97D1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数据库设计中加入状态日志、信用日志、AI 日志和管理员审计</w:t>
            </w:r>
          </w:p>
        </w:tc>
      </w:tr>
    </w:tbl>
    <w:p w14:paraId="1E07A89F">
      <w:pPr>
        <w:keepNext w:val="0"/>
        <w:keepLines w:val="0"/>
        <w:pageBreakBefore w:val="0"/>
        <w:widowControl w:val="0"/>
        <w:numPr>
          <w:numId w:val="0"/>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p>
    <w:p w14:paraId="42A92FE3">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ind w:left="0" w:leftChars="0" w:firstLine="0" w:firstLineChars="0"/>
        <w:textAlignment w:val="auto"/>
        <w:rPr>
          <w:rFonts w:ascii="Times New Roman" w:hAnsi="Times New Roman" w:eastAsia="宋体"/>
          <w:b/>
          <w:bCs/>
          <w:sz w:val="24"/>
          <w:szCs w:val="24"/>
        </w:rPr>
      </w:pPr>
      <w:r>
        <w:rPr>
          <w:rFonts w:hint="eastAsia" w:ascii="Times New Roman" w:hAnsi="Times New Roman" w:eastAsia="宋体"/>
          <w:b/>
          <w:bCs/>
          <w:sz w:val="24"/>
          <w:szCs w:val="24"/>
          <w:lang w:val="en-US" w:eastAsia="zh-CN"/>
        </w:rPr>
        <w:t>今日阶段成果</w:t>
      </w:r>
    </w:p>
    <w:p w14:paraId="4A73642B">
      <w:pPr>
        <w:pStyle w:val="11"/>
        <w:keepNext w:val="0"/>
        <w:keepLines w:val="0"/>
        <w:pageBreakBefore w:val="0"/>
        <w:widowControl w:val="0"/>
        <w:kinsoku/>
        <w:wordWrap/>
        <w:overflowPunct/>
        <w:topLinePunct w:val="0"/>
        <w:autoSpaceDE/>
        <w:autoSpaceDN/>
        <w:bidi w:val="0"/>
        <w:adjustRightInd/>
        <w:snapToGrid/>
        <w:spacing w:before="0" w:line="400" w:lineRule="exact"/>
        <w:textAlignment w:val="auto"/>
        <w:rPr>
          <w:rFonts w:ascii="Times New Roman" w:hAnsi="Times New Roman" w:eastAsia="宋体"/>
          <w:sz w:val="24"/>
          <w:szCs w:val="24"/>
        </w:rPr>
      </w:pPr>
      <w:r>
        <w:rPr>
          <w:rFonts w:ascii="Times New Roman" w:hAnsi="Times New Roman" w:eastAsia="宋体"/>
          <w:sz w:val="24"/>
          <w:szCs w:val="24"/>
        </w:rPr>
        <w:t>本次会议形成以下阶段性成果：</w:t>
      </w:r>
    </w:p>
    <w:p w14:paraId="25EBDA4D">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 2026 年 7 月 1 日会议是从架构统一进入设计落地和联调准备的关键节点。</w:t>
      </w:r>
    </w:p>
    <w:p w14:paraId="03BC6901">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根据今日计划，确认继续完善 4A 架构图、概要设计说明书，同时启动详细设计说明书初版和数据库设计说明书初版。</w:t>
      </w:r>
    </w:p>
    <w:p w14:paraId="0ED3C032">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复核普通任务主链路和小法庭纠纷链路，确认主链路优先、小法庭最小闭环次之、AI 和公会玩法按优先级后置。</w:t>
      </w:r>
    </w:p>
    <w:p w14:paraId="189C7D6F">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 4A 架构图的补充方向：业务架构突出业务域和角色，应用架构突出页面与服务，数据架构突出核心对象和归属，技术架构突出网关、服务、数据层和 AI 边界。</w:t>
      </w:r>
    </w:p>
    <w:p w14:paraId="7CDE37DD">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明确概要设计说明书需要补充项目范围、任务状态机、案件状态机、服务边界、接口分类、数据归属、AI 降级策略和安全设计。</w:t>
      </w:r>
    </w:p>
    <w:p w14:paraId="440E48A8">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明确详细设计说明书初版结构，重点覆盖用户身份、任务悬赏、接单申请、契约履约、评价信用、小法庭、AI、消息、后台和文件模块。</w:t>
      </w:r>
    </w:p>
    <w:p w14:paraId="04DA014C">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明确数据库设计说明书初版核心表范围，覆盖用户认证、猎人成长、任务、申请、契约、证据、评价、小法庭、AI 日志、消息、文件和审计。</w:t>
      </w:r>
    </w:p>
    <w:p w14:paraId="5C0F8EF1">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明确接口对接应采用赏金布新业务路径和新 DTO 语义，不能让新页面继续绑定旧商城接口。</w:t>
      </w:r>
    </w:p>
    <w:p w14:paraId="2063FADE">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确认前端 mock、自动化验收和手工验收脚本可以作为开发期验证依据，但真实联调必须以后端接口、数据库状态和业务规则为准。</w:t>
      </w:r>
    </w:p>
    <w:p w14:paraId="378391B8">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rPr>
          <w:rFonts w:ascii="Times New Roman" w:hAnsi="Times New Roman" w:eastAsia="宋体"/>
          <w:sz w:val="24"/>
          <w:szCs w:val="24"/>
        </w:rPr>
      </w:pPr>
      <w:r>
        <w:rPr>
          <w:rFonts w:ascii="Times New Roman" w:hAnsi="Times New Roman" w:eastAsia="宋体"/>
          <w:sz w:val="24"/>
          <w:szCs w:val="24"/>
        </w:rPr>
        <w:t>确认项目进度计划表需要同步加入详细设计、数据库设计、接口清单、联调准备和测试验收节点。</w:t>
      </w:r>
    </w:p>
    <w:p w14:paraId="1D02A565">
      <w:pPr>
        <w:keepNext w:val="0"/>
        <w:keepLines w:val="0"/>
        <w:pageBreakBefore w:val="0"/>
        <w:widowControl w:val="0"/>
        <w:numPr>
          <w:numId w:val="0"/>
        </w:numPr>
        <w:kinsoku/>
        <w:wordWrap/>
        <w:overflowPunct/>
        <w:topLinePunct w:val="0"/>
        <w:autoSpaceDE/>
        <w:autoSpaceDN/>
        <w:bidi w:val="0"/>
        <w:adjustRightInd/>
        <w:snapToGrid/>
        <w:spacing w:after="0" w:line="400" w:lineRule="exact"/>
        <w:textAlignment w:val="auto"/>
        <w:rPr>
          <w:rFonts w:ascii="Times New Roman" w:hAnsi="Times New Roman" w:eastAsia="宋体"/>
          <w:b/>
          <w:bCs/>
          <w:sz w:val="24"/>
          <w:szCs w:val="24"/>
        </w:rPr>
      </w:pPr>
    </w:p>
    <w:p w14:paraId="72B0F86F">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ind w:left="0" w:leftChars="0" w:firstLine="0" w:firstLineChars="0"/>
        <w:textAlignment w:val="auto"/>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任务分工</w:t>
      </w:r>
    </w:p>
    <w:tbl>
      <w:tblPr>
        <w:tblStyle w:val="45"/>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2"/>
        <w:gridCol w:w="1720"/>
        <w:gridCol w:w="4080"/>
      </w:tblGrid>
      <w:tr w14:paraId="1E1F06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Borders>
              <w:bottom w:val="single" w:color="auto" w:sz="4" w:space="0"/>
            </w:tcBorders>
            <w:vAlign w:val="bottom"/>
          </w:tcPr>
          <w:p w14:paraId="0BDEC2C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任务</w:t>
            </w:r>
          </w:p>
        </w:tc>
        <w:tc>
          <w:tcPr>
            <w:tcW w:w="1009" w:type="pct"/>
            <w:tcBorders>
              <w:bottom w:val="single" w:color="auto" w:sz="4" w:space="0"/>
            </w:tcBorders>
            <w:vAlign w:val="bottom"/>
          </w:tcPr>
          <w:p w14:paraId="29F93C7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负责人</w:t>
            </w:r>
          </w:p>
        </w:tc>
        <w:tc>
          <w:tcPr>
            <w:tcW w:w="2393" w:type="pct"/>
            <w:tcBorders>
              <w:bottom w:val="single" w:color="auto" w:sz="4" w:space="0"/>
            </w:tcBorders>
            <w:vAlign w:val="bottom"/>
          </w:tcPr>
          <w:p w14:paraId="1A07681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说明</w:t>
            </w:r>
          </w:p>
        </w:tc>
      </w:tr>
      <w:tr w14:paraId="6E4800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Borders>
              <w:top w:val="single" w:color="auto" w:sz="4" w:space="0"/>
            </w:tcBorders>
          </w:tcPr>
          <w:p w14:paraId="0908A57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7 月 1 日会议记录整理</w:t>
            </w:r>
          </w:p>
        </w:tc>
        <w:tc>
          <w:tcPr>
            <w:tcW w:w="1009" w:type="pct"/>
            <w:tcBorders>
              <w:top w:val="single" w:color="auto" w:sz="4" w:space="0"/>
            </w:tcBorders>
          </w:tcPr>
          <w:p w14:paraId="24AEBDC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w:t>
            </w:r>
          </w:p>
        </w:tc>
        <w:tc>
          <w:tcPr>
            <w:tcW w:w="2393" w:type="pct"/>
            <w:tcBorders>
              <w:top w:val="single" w:color="auto" w:sz="4" w:space="0"/>
            </w:tcBorders>
          </w:tcPr>
          <w:p w14:paraId="259BB72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按 6 月 30 日会议记录风格整理正式 Markdown 文档</w:t>
            </w:r>
          </w:p>
        </w:tc>
      </w:tr>
      <w:tr w14:paraId="6FB2D6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14C93F6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4A 架构图继续完善</w:t>
            </w:r>
          </w:p>
        </w:tc>
        <w:tc>
          <w:tcPr>
            <w:tcW w:w="1009" w:type="pct"/>
          </w:tcPr>
          <w:p w14:paraId="642D1DB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唐浩文、陈楚月、彭博</w:t>
            </w:r>
          </w:p>
        </w:tc>
        <w:tc>
          <w:tcPr>
            <w:tcW w:w="2393" w:type="pct"/>
          </w:tcPr>
          <w:p w14:paraId="417DAF9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唐浩文统筹整体结构，陈楚月重点检查数据架构，彭博重点检查应用与技术架构</w:t>
            </w:r>
          </w:p>
        </w:tc>
      </w:tr>
      <w:tr w14:paraId="6CC8A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68A5DD3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概要设计说明书继续完善</w:t>
            </w:r>
          </w:p>
        </w:tc>
        <w:tc>
          <w:tcPr>
            <w:tcW w:w="1009" w:type="pct"/>
          </w:tcPr>
          <w:p w14:paraId="4C22D73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全体成员</w:t>
            </w:r>
          </w:p>
        </w:tc>
        <w:tc>
          <w:tcPr>
            <w:tcW w:w="2393" w:type="pct"/>
          </w:tcPr>
          <w:p w14:paraId="13545D7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补充服务边界、状态机、接口分类、AI 降级、安全设计和里程碑</w:t>
            </w:r>
          </w:p>
        </w:tc>
      </w:tr>
      <w:tr w14:paraId="46842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1065785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详细设计说明书初版</w:t>
            </w:r>
          </w:p>
        </w:tc>
        <w:tc>
          <w:tcPr>
            <w:tcW w:w="1009" w:type="pct"/>
          </w:tcPr>
          <w:p w14:paraId="112402B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彭博、唐浩文</w:t>
            </w:r>
          </w:p>
        </w:tc>
        <w:tc>
          <w:tcPr>
            <w:tcW w:w="2393" w:type="pct"/>
          </w:tcPr>
          <w:p w14:paraId="6A1AD1A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彭博负责后端模块、接口与状态流转，唐浩文负责前端页面、路由和交互流程</w:t>
            </w:r>
          </w:p>
        </w:tc>
      </w:tr>
      <w:tr w14:paraId="0135E6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73E34A3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数据库设计说明书初版</w:t>
            </w:r>
          </w:p>
        </w:tc>
        <w:tc>
          <w:tcPr>
            <w:tcW w:w="1009" w:type="pct"/>
          </w:tcPr>
          <w:p w14:paraId="387A5C0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陈楚月、彭博</w:t>
            </w:r>
          </w:p>
        </w:tc>
        <w:tc>
          <w:tcPr>
            <w:tcW w:w="2393" w:type="pct"/>
          </w:tcPr>
          <w:p w14:paraId="11A58C7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陈楚月负责核心表和实体关系，彭博负责状态字段、数据归属和接口数据字段</w:t>
            </w:r>
          </w:p>
        </w:tc>
      </w:tr>
      <w:tr w14:paraId="234916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4D94E5A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API 对接清单整理</w:t>
            </w:r>
          </w:p>
        </w:tc>
        <w:tc>
          <w:tcPr>
            <w:tcW w:w="1009" w:type="pct"/>
          </w:tcPr>
          <w:p w14:paraId="628D28E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彭博、陈楚月</w:t>
            </w:r>
          </w:p>
        </w:tc>
        <w:tc>
          <w:tcPr>
            <w:tcW w:w="2393" w:type="pct"/>
          </w:tcPr>
          <w:p w14:paraId="2205A87F">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按认证、任务、申请、契约、履约、小法庭、AI、后台和消息分类</w:t>
            </w:r>
          </w:p>
        </w:tc>
      </w:tr>
      <w:tr w14:paraId="5B1F88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754E436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前端验收材料校对</w:t>
            </w:r>
          </w:p>
        </w:tc>
        <w:tc>
          <w:tcPr>
            <w:tcW w:w="1009" w:type="pct"/>
          </w:tcPr>
          <w:p w14:paraId="4FDAA0D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w:t>
            </w:r>
          </w:p>
        </w:tc>
        <w:tc>
          <w:tcPr>
            <w:tcW w:w="2393" w:type="pct"/>
          </w:tcPr>
          <w:p w14:paraId="7BE0659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对照前端全量功能验收报告和测试手册，整理页面到 API 的依赖关系</w:t>
            </w:r>
          </w:p>
        </w:tc>
      </w:tr>
      <w:tr w14:paraId="351A0B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7ADF23F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项目进度计划表更新</w:t>
            </w:r>
          </w:p>
        </w:tc>
        <w:tc>
          <w:tcPr>
            <w:tcW w:w="1009" w:type="pct"/>
          </w:tcPr>
          <w:p w14:paraId="6C3D797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w:t>
            </w:r>
          </w:p>
        </w:tc>
        <w:tc>
          <w:tcPr>
            <w:tcW w:w="2393" w:type="pct"/>
          </w:tcPr>
          <w:p w14:paraId="74AC998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将今天文档任务和后续接口、开发、联调、测试节点补充到计划表</w:t>
            </w:r>
          </w:p>
        </w:tc>
      </w:tr>
      <w:tr w14:paraId="1E590E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7" w:type="pct"/>
          </w:tcPr>
          <w:p w14:paraId="4CC0188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文档一致性检查</w:t>
            </w:r>
          </w:p>
        </w:tc>
        <w:tc>
          <w:tcPr>
            <w:tcW w:w="1009" w:type="pct"/>
          </w:tcPr>
          <w:p w14:paraId="5384979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全体成员</w:t>
            </w:r>
          </w:p>
        </w:tc>
        <w:tc>
          <w:tcPr>
            <w:tcW w:w="2393" w:type="pct"/>
          </w:tcPr>
          <w:p w14:paraId="05827DF9">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统一项目名称、角色名称、服务名称、状态名称、表名和接口路径</w:t>
            </w:r>
          </w:p>
        </w:tc>
      </w:tr>
    </w:tbl>
    <w:p w14:paraId="1F039FE2">
      <w:pPr>
        <w:keepNext w:val="0"/>
        <w:keepLines w:val="0"/>
        <w:pageBreakBefore w:val="0"/>
        <w:widowControl w:val="0"/>
        <w:numPr>
          <w:numId w:val="0"/>
        </w:numPr>
        <w:kinsoku/>
        <w:wordWrap/>
        <w:overflowPunct/>
        <w:topLinePunct w:val="0"/>
        <w:autoSpaceDE/>
        <w:autoSpaceDN/>
        <w:bidi w:val="0"/>
        <w:adjustRightInd/>
        <w:snapToGrid/>
        <w:spacing w:after="0" w:line="400" w:lineRule="exact"/>
        <w:ind w:leftChars="0"/>
        <w:textAlignment w:val="auto"/>
        <w:rPr>
          <w:rFonts w:hint="eastAsia" w:ascii="Times New Roman" w:hAnsi="Times New Roman" w:eastAsia="宋体"/>
          <w:b/>
          <w:bCs/>
          <w:sz w:val="24"/>
          <w:szCs w:val="24"/>
          <w:lang w:val="en-US" w:eastAsia="zh-CN"/>
        </w:rPr>
      </w:pPr>
    </w:p>
    <w:p w14:paraId="7069EF80">
      <w:pPr>
        <w:keepNext w:val="0"/>
        <w:keepLines w:val="0"/>
        <w:pageBreakBefore w:val="0"/>
        <w:widowControl w:val="0"/>
        <w:numPr>
          <w:ilvl w:val="0"/>
          <w:numId w:val="2"/>
        </w:numPr>
        <w:kinsoku/>
        <w:wordWrap/>
        <w:overflowPunct/>
        <w:topLinePunct w:val="0"/>
        <w:autoSpaceDE/>
        <w:autoSpaceDN/>
        <w:bidi w:val="0"/>
        <w:adjustRightInd/>
        <w:snapToGrid/>
        <w:spacing w:after="0" w:line="400" w:lineRule="exact"/>
        <w:ind w:left="0" w:leftChars="0" w:firstLine="0" w:firstLineChars="0"/>
        <w:textAlignment w:val="auto"/>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会议讨论形成的主要决议</w:t>
      </w:r>
    </w:p>
    <w:p w14:paraId="0EEF11D5">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第一，今天所有设计材料必须统一围绕普通任务主链路和小法庭纠纷链路展开，不能各写各的。</w:t>
      </w:r>
    </w:p>
    <w:p w14:paraId="3409379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第二，4A 架构图后续完善时，不只追求图形完整，还要保证图中每个业务域、应用模块、数据对象和技术组件都能在设计文档中找到对应说明。</w:t>
      </w:r>
    </w:p>
    <w:p w14:paraId="149A0DF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第三，概要设计说明书继续作为系统级设计材料，重点回答系统结构、服务拆分、状态机、数据归属、安全策略和 AI 服务边界。</w:t>
      </w:r>
    </w:p>
    <w:p w14:paraId="4FB130CB">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第四，详细设计说明书初版先追求结构完整和模块边界清楚，后续再逐步补充接口字段、异常处理、伪代码、流程细节和测试计划。</w:t>
      </w:r>
    </w:p>
    <w:p w14:paraId="7601FAB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第五，数据库设计说明书初版先覆盖核心业务闭环，不急于加入复杂统计、推荐算法、复杂运营配置和商业化结算表。</w:t>
      </w:r>
    </w:p>
    <w:p w14:paraId="0A9F8468">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第六，API 对接必须逐步从旧商城语义迁移到赏金布语义。后端过渡期可以复用旧模块，但前端新页面和正式文档中应统一使用新业务路径和新业务字段。</w:t>
      </w:r>
    </w:p>
    <w:p w14:paraId="317D5F8E">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第七，AI 书记官在所有材料中的定位必须保持一致：AI 是辅助能力，不是最终裁决者，不直接修改关键业务状态，不直接处罚用户。</w:t>
      </w:r>
    </w:p>
    <w:p w14:paraId="62F35E8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第八，前端 mock 和自动化验收可以提高开发效率，但真实验收必须以后端接口、数据库状态、权限规则和业务副作用为准。</w:t>
      </w:r>
    </w:p>
    <w:p w14:paraId="0CC42E86">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default" w:ascii="Times New Roman" w:hAnsi="Times New Roman" w:eastAsia="宋体"/>
          <w:sz w:val="24"/>
          <w:szCs w:val="24"/>
          <w:lang w:val="en-US" w:eastAsia="zh-CN"/>
        </w:rPr>
      </w:pPr>
      <w:r>
        <w:rPr>
          <w:rFonts w:ascii="Times New Roman" w:hAnsi="Times New Roman" w:eastAsia="宋体"/>
          <w:sz w:val="24"/>
          <w:szCs w:val="24"/>
          <w:lang w:val="en-US" w:eastAsia="zh-CN"/>
        </w:rPr>
        <w:t>第九，项目进度计划表需要同步反映文档产出、接口设计、工程搭建、联调测试和答辩准备，不能只写编码任务。</w:t>
      </w:r>
    </w:p>
    <w:p w14:paraId="0CB6B1F2">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b/>
          <w:bCs/>
          <w:sz w:val="24"/>
          <w:szCs w:val="24"/>
          <w:lang w:val="en-US" w:eastAsia="zh-CN"/>
        </w:rPr>
      </w:pPr>
      <w:r>
        <w:rPr>
          <w:rFonts w:ascii="Times New Roman" w:hAnsi="Times New Roman" w:eastAsia="宋体"/>
          <w:b/>
          <w:bCs/>
          <w:sz w:val="24"/>
          <w:szCs w:val="24"/>
        </w:rPr>
        <w:t>九、</w:t>
      </w:r>
      <w:r>
        <w:rPr>
          <w:rFonts w:hint="eastAsia" w:ascii="Times New Roman" w:hAnsi="Times New Roman" w:eastAsia="宋体"/>
          <w:b/>
          <w:bCs/>
          <w:sz w:val="24"/>
          <w:szCs w:val="24"/>
          <w:lang w:val="en-US" w:eastAsia="zh-CN"/>
        </w:rPr>
        <w:t>会后待办事项</w:t>
      </w:r>
    </w:p>
    <w:tbl>
      <w:tblPr>
        <w:tblStyle w:val="45"/>
        <w:tblW w:w="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4"/>
        <w:gridCol w:w="1294"/>
        <w:gridCol w:w="4554"/>
      </w:tblGrid>
      <w:tr w14:paraId="42D5B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Borders>
              <w:bottom w:val="single" w:color="auto" w:sz="4" w:space="0"/>
            </w:tcBorders>
            <w:vAlign w:val="bottom"/>
          </w:tcPr>
          <w:p w14:paraId="27CC701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待办事项</w:t>
            </w:r>
          </w:p>
        </w:tc>
        <w:tc>
          <w:tcPr>
            <w:tcBorders>
              <w:bottom w:val="single" w:color="auto" w:sz="4" w:space="0"/>
            </w:tcBorders>
            <w:vAlign w:val="bottom"/>
          </w:tcPr>
          <w:p w14:paraId="1098488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负责人</w:t>
            </w:r>
          </w:p>
        </w:tc>
        <w:tc>
          <w:tcPr>
            <w:tcBorders>
              <w:bottom w:val="single" w:color="auto" w:sz="4" w:space="0"/>
            </w:tcBorders>
            <w:vAlign w:val="bottom"/>
          </w:tcPr>
          <w:p w14:paraId="19D8837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完成要求</w:t>
            </w:r>
          </w:p>
        </w:tc>
      </w:tr>
      <w:tr w14:paraId="6197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4" w:space="0"/>
            </w:tcBorders>
          </w:tcPr>
          <w:p w14:paraId="78D676A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完成 7 月 1 日会议记录 Markdown 文档</w:t>
            </w:r>
          </w:p>
        </w:tc>
        <w:tc>
          <w:tcPr>
            <w:tcBorders>
              <w:top w:val="single" w:color="auto" w:sz="4" w:space="0"/>
            </w:tcBorders>
          </w:tcPr>
          <w:p w14:paraId="2EC02E4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w:t>
            </w:r>
          </w:p>
        </w:tc>
        <w:tc>
          <w:tcPr>
            <w:tcBorders>
              <w:top w:val="single" w:color="auto" w:sz="4" w:space="0"/>
            </w:tcBorders>
          </w:tcPr>
          <w:p w14:paraId="63C2D09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记录今天设计材料推进、接口联调准备和分工安排，保持与 6 月 30 日会议逻辑衔接</w:t>
            </w:r>
          </w:p>
        </w:tc>
      </w:tr>
      <w:tr w14:paraId="6BA75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68DE28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继续完善业务架构图</w:t>
            </w:r>
          </w:p>
        </w:tc>
        <w:tc>
          <w:p w14:paraId="4BCA72D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唐浩文、全体成员</w:t>
            </w:r>
          </w:p>
        </w:tc>
        <w:tc>
          <w:p w14:paraId="6982D5C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补充业务域、角色关系、主业务流程和小法庭流程</w:t>
            </w:r>
          </w:p>
        </w:tc>
      </w:tr>
      <w:tr w14:paraId="193B4D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B29C8DD">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继续完善应用架构图</w:t>
            </w:r>
          </w:p>
        </w:tc>
        <w:tc>
          <w:p w14:paraId="20EAD09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彭博、唐浩文</w:t>
            </w:r>
          </w:p>
        </w:tc>
        <w:tc>
          <w:p w14:paraId="19D37374">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补充前端页面、后端服务、后台模块、AI 服务和网关关系</w:t>
            </w:r>
          </w:p>
        </w:tc>
      </w:tr>
      <w:tr w14:paraId="21B3E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53DF3F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继续完善数据架构图</w:t>
            </w:r>
          </w:p>
        </w:tc>
        <w:tc>
          <w:p w14:paraId="1D74F94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陈楚月、彭博</w:t>
            </w:r>
          </w:p>
        </w:tc>
        <w:tc>
          <w:p w14:paraId="705B27F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补充核心数据对象、数据归属、状态日志和关键关联</w:t>
            </w:r>
          </w:p>
        </w:tc>
      </w:tr>
      <w:tr w14:paraId="7A9035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1741F86">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继续完善技术架构图</w:t>
            </w:r>
          </w:p>
        </w:tc>
        <w:tc>
          <w:p w14:paraId="0375314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w:t>
            </w:r>
          </w:p>
        </w:tc>
        <w:tc>
          <w:p w14:paraId="074F3CB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补充网关、服务、数据库、缓存、文件存储、AI 调用、日志审计和部署支撑</w:t>
            </w:r>
          </w:p>
        </w:tc>
      </w:tr>
      <w:tr w14:paraId="58728B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555DF4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修改概要设计说明书</w:t>
            </w:r>
          </w:p>
        </w:tc>
        <w:tc>
          <w:p w14:paraId="45C85CE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全体成员</w:t>
            </w:r>
          </w:p>
        </w:tc>
        <w:tc>
          <w:p w14:paraId="7B1ADAA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补充状态机、服务边界、接口分类、AI 降级、安全设计和开发里程碑</w:t>
            </w:r>
          </w:p>
        </w:tc>
      </w:tr>
      <w:tr w14:paraId="711438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5A549D7">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编写详细设计说明书初版</w:t>
            </w:r>
          </w:p>
        </w:tc>
        <w:tc>
          <w:p w14:paraId="05B4B67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彭博、唐浩文</w:t>
            </w:r>
          </w:p>
        </w:tc>
        <w:tc>
          <w:p w14:paraId="7B83BD83">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形成章节结构、模块设计、权限说明、接口方向和测试要点</w:t>
            </w:r>
          </w:p>
        </w:tc>
      </w:tr>
      <w:tr w14:paraId="4749F7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CAF881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编写数据库设计说明书初版</w:t>
            </w:r>
          </w:p>
        </w:tc>
        <w:tc>
          <w:p w14:paraId="2FE4662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陈楚月、彭博</w:t>
            </w:r>
          </w:p>
        </w:tc>
        <w:tc>
          <w:p w14:paraId="444CD56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形成核心表清单、字段方向、状态枚举、实体关系和数据归属说明</w:t>
            </w:r>
          </w:p>
        </w:tc>
      </w:tr>
      <w:tr w14:paraId="67F2AF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2867C85">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整理 API 对接清单</w:t>
            </w:r>
          </w:p>
        </w:tc>
        <w:tc>
          <w:p w14:paraId="788B542B">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彭博、陈楚月</w:t>
            </w:r>
          </w:p>
        </w:tc>
        <w:tc>
          <w:p w14:paraId="6110BB28">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对照 API 过渡设计、接口映射和前端页面，明确新增、复用、改造接口</w:t>
            </w:r>
          </w:p>
        </w:tc>
      </w:tr>
      <w:tr w14:paraId="3F3FA3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F83555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更新项目进度计划表</w:t>
            </w:r>
          </w:p>
        </w:tc>
        <w:tc>
          <w:p w14:paraId="74793C7A">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w:t>
            </w:r>
          </w:p>
        </w:tc>
        <w:tc>
          <w:p w14:paraId="4BA3007C">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将今日文档任务和后续接口、开发、联调、测试节点补充到计划中</w:t>
            </w:r>
          </w:p>
        </w:tc>
      </w:tr>
      <w:tr w14:paraId="1EBE26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6DAD9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检查前端验收与后端联调差异</w:t>
            </w:r>
          </w:p>
        </w:tc>
        <w:tc>
          <w:p w14:paraId="031AC1C2">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唐浩文、彭博</w:t>
            </w:r>
          </w:p>
        </w:tc>
        <w:tc>
          <w:p w14:paraId="2A655C9E">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明确哪些是 mock 已完成，哪些必须由后端真实实现</w:t>
            </w:r>
          </w:p>
        </w:tc>
      </w:tr>
      <w:tr w14:paraId="5F86B5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077A350">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文档一致性检查</w:t>
            </w:r>
          </w:p>
        </w:tc>
        <w:tc>
          <w:p w14:paraId="4DC155A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全体成员</w:t>
            </w:r>
          </w:p>
        </w:tc>
        <w:tc>
          <w:p w14:paraId="2C77E251">
            <w:pPr>
              <w:pStyle w:val="44"/>
              <w:keepNext w:val="0"/>
              <w:keepLines w:val="0"/>
              <w:pageBreakBefore w:val="0"/>
              <w:widowControl w:val="0"/>
              <w:kinsoku/>
              <w:wordWrap/>
              <w:overflowPunct/>
              <w:topLinePunct w:val="0"/>
              <w:autoSpaceDE/>
              <w:autoSpaceDN/>
              <w:bidi w:val="0"/>
              <w:adjustRightInd/>
              <w:snapToGrid/>
              <w:spacing w:before="0" w:line="400" w:lineRule="exact"/>
              <w:jc w:val="center"/>
              <w:textAlignment w:val="auto"/>
              <w:rPr>
                <w:rFonts w:ascii="Times New Roman" w:hAnsi="Times New Roman" w:eastAsia="宋体"/>
                <w:sz w:val="21"/>
                <w:szCs w:val="21"/>
              </w:rPr>
            </w:pPr>
            <w:r>
              <w:rPr>
                <w:rFonts w:ascii="Times New Roman" w:hAnsi="Times New Roman" w:eastAsia="宋体"/>
                <w:sz w:val="21"/>
                <w:szCs w:val="21"/>
              </w:rPr>
              <w:t>统一名称、角色、状态、表名、接口路径和 AI 边界表述</w:t>
            </w:r>
          </w:p>
        </w:tc>
      </w:tr>
    </w:tbl>
    <w:p w14:paraId="67F2F912">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宋体"/>
          <w:b/>
          <w:bCs/>
          <w:sz w:val="24"/>
          <w:szCs w:val="24"/>
          <w:lang w:val="en-US" w:eastAsia="zh-CN"/>
        </w:rPr>
      </w:pPr>
    </w:p>
    <w:p w14:paraId="079DD2C4">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b/>
          <w:bCs/>
          <w:sz w:val="24"/>
          <w:szCs w:val="24"/>
          <w:lang w:val="en-US" w:eastAsia="zh-CN"/>
        </w:rPr>
      </w:pPr>
      <w:r>
        <w:rPr>
          <w:rFonts w:ascii="Times New Roman" w:hAnsi="Times New Roman" w:eastAsia="宋体"/>
          <w:b/>
          <w:bCs/>
          <w:sz w:val="24"/>
          <w:szCs w:val="24"/>
        </w:rPr>
        <w:t>十、</w:t>
      </w:r>
      <w:r>
        <w:rPr>
          <w:rFonts w:hint="eastAsia" w:ascii="Times New Roman" w:hAnsi="Times New Roman" w:eastAsia="宋体"/>
          <w:b/>
          <w:bCs/>
          <w:sz w:val="24"/>
          <w:szCs w:val="24"/>
          <w:lang w:val="en-US" w:eastAsia="zh-CN"/>
        </w:rPr>
        <w:t>下一步工作安排</w:t>
      </w:r>
    </w:p>
    <w:p w14:paraId="61A6CBC1">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明天的工作应在今天设计材料初版基础上继续推进，重点从“结构确定”转向“内容补全”和“接口准备”。</w:t>
      </w:r>
    </w:p>
    <w:p w14:paraId="1A61E37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第一，继续补充详细设计说明书，把用户身份、校园认证、任务发布、任务大厅、接单申请、任务契约、履约证据、确认完成、双方评价、小法庭、AI 书记官和后台治理模块写得更具体。</w:t>
      </w:r>
    </w:p>
    <w:p w14:paraId="59CC276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第二，继续补充数据库设计说明书，重点确定核心表字段、主键、关键索引、状态枚举、创建时间、更新时间、逻辑删除、状态日志和审计字段。</w:t>
      </w:r>
    </w:p>
    <w:p w14:paraId="3BC12163">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第三，整理第一版接口清单，至少覆盖登录注册、校园认证、任务发布、任务查询、申请接单、选择猎人、提交证据、确认完成、评价、小法庭立案、投票、裁决、AI 辅助、消息通知和后台审核。</w:t>
      </w:r>
    </w:p>
    <w:p w14:paraId="3EB66B02">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第四，对照前端全量功能验收报告，确认每个页面依赖的接口、权限和数据字段，提前标记后端尚未实现或需要适配的部分。</w:t>
      </w:r>
    </w:p>
    <w:p w14:paraId="6B99285F">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第五，根据更新后的项目进度计划，逐步进入前端真实联调和后端基础工程改造准备，提前统一接口返回格式、错误码、权限规则、状态流转和字段命名。</w:t>
      </w:r>
    </w:p>
    <w:p w14:paraId="68A4DA3A">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default" w:ascii="Times New Roman" w:hAnsi="Times New Roman" w:eastAsia="宋体"/>
          <w:sz w:val="24"/>
          <w:szCs w:val="24"/>
          <w:lang w:val="en-US" w:eastAsia="zh-CN"/>
        </w:rPr>
      </w:pPr>
      <w:r>
        <w:rPr>
          <w:rFonts w:ascii="Times New Roman" w:hAnsi="Times New Roman" w:eastAsia="宋体"/>
          <w:sz w:val="24"/>
          <w:szCs w:val="24"/>
          <w:lang w:val="en-US" w:eastAsia="zh-CN"/>
        </w:rPr>
        <w:t>第六，继续检查 4A 架构图与设计说明书之间是否一致，保证最终提交时图、表、文字说明能够互相支撑。</w:t>
      </w:r>
    </w:p>
    <w:p w14:paraId="7EB76D84">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eastAsia" w:ascii="Times New Roman" w:hAnsi="Times New Roman" w:eastAsia="宋体"/>
          <w:b/>
          <w:bCs/>
          <w:sz w:val="24"/>
          <w:szCs w:val="24"/>
          <w:lang w:val="en-US" w:eastAsia="zh-CN"/>
        </w:rPr>
      </w:pPr>
      <w:r>
        <w:rPr>
          <w:rFonts w:ascii="Times New Roman" w:hAnsi="Times New Roman" w:eastAsia="宋体"/>
          <w:b/>
          <w:bCs/>
          <w:sz w:val="24"/>
          <w:szCs w:val="24"/>
        </w:rPr>
        <w:t>十一、</w:t>
      </w:r>
      <w:r>
        <w:rPr>
          <w:rFonts w:hint="eastAsia" w:ascii="Times New Roman" w:hAnsi="Times New Roman" w:eastAsia="宋体"/>
          <w:b/>
          <w:bCs/>
          <w:sz w:val="24"/>
          <w:szCs w:val="24"/>
          <w:lang w:val="en-US" w:eastAsia="zh-CN"/>
        </w:rPr>
        <w:t>会议总结</w:t>
      </w:r>
    </w:p>
    <w:p w14:paraId="278C3E3C">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本次会议是 6 月 30 日架构设计讨论后的继续推进。上一轮会议解决了项目定位、主链路、架构方向、服务边界和 AI 边界问题；今天会议进一步解决这些结论如何进入正式设计材料、数据库设计、接口契约和联调验收安排。</w:t>
      </w:r>
    </w:p>
    <w:p w14:paraId="0D3C355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通过本次会议，小组确认 2026 年 7 月 1 日的重点工作是继续完善 4A 架构图和概要设计说明书，同时形成详细设计说明书初版、数据库设计说明书初版，并更新项目进度计划表。会议还将当前 Leisure/docs 中已有的 API 对接、服务与数据模型改造、前端全量验收、联调清单和 E4/E5 接口差异材料纳入后续开发依据，使项目不只停留在概念和架构层面，而是继续向可编码、可联调、可验收的工程状态推进。</w:t>
      </w:r>
    </w:p>
    <w:p w14:paraId="10CDD620">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ascii="Times New Roman" w:hAnsi="Times New Roman" w:eastAsia="宋体"/>
          <w:sz w:val="24"/>
          <w:szCs w:val="24"/>
          <w:lang w:val="en-US" w:eastAsia="zh-CN"/>
        </w:rPr>
      </w:pPr>
      <w:r>
        <w:rPr>
          <w:rFonts w:ascii="Times New Roman" w:hAnsi="Times New Roman" w:eastAsia="宋体"/>
          <w:sz w:val="24"/>
          <w:szCs w:val="24"/>
          <w:lang w:val="en-US" w:eastAsia="zh-CN"/>
        </w:rPr>
        <w:t>后续小组将继续坚持“先主链路、后特色功能；先清晰边界、后细节扩展；AI 只辅助、不替代裁决；文档、接口、数据和验收口径统一”的原则，保证赏金布项目既有完整的业务闭环，也有小法庭、信用成长和 AI 书记官等具有辨识度的特色设计。</w:t>
      </w:r>
    </w:p>
    <w:p w14:paraId="6940C857">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Times New Roman" w:hAnsi="Times New Roman" w:eastAsia="宋体"/>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325C3C06"/>
    <w:multiLevelType w:val="singleLevel"/>
    <w:tmpl w:val="325C3C06"/>
    <w:lvl w:ilvl="0" w:tentative="0">
      <w:start w:val="3"/>
      <w:numFmt w:val="chineseCounting"/>
      <w:suff w:val="nothing"/>
      <w:lvlText w:val="%1、"/>
      <w:lvlJc w:val="left"/>
      <w:rPr>
        <w:rFonts w:hint="eastAsia"/>
      </w:rPr>
    </w:lvl>
  </w:abstractNum>
  <w:abstractNum w:abstractNumId="2">
    <w:nsid w:val="3D2E575E"/>
    <w:multiLevelType w:val="multilevel"/>
    <w:tmpl w:val="3D2E575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E4C06B3"/>
    <w:multiLevelType w:val="multilevel"/>
    <w:tmpl w:val="7E4C06B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D97"/>
    <w:rsid w:val="00441C03"/>
    <w:rsid w:val="004633E0"/>
    <w:rsid w:val="0048726F"/>
    <w:rsid w:val="004B35C4"/>
    <w:rsid w:val="007A0D97"/>
    <w:rsid w:val="007C5057"/>
    <w:rsid w:val="009925D6"/>
    <w:rsid w:val="00C27D4F"/>
    <w:rsid w:val="00DA3428"/>
    <w:rsid w:val="00DF7C0C"/>
    <w:rsid w:val="00E23B93"/>
    <w:rsid w:val="00FF3A79"/>
    <w:rsid w:val="74117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3"/>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2"/>
    <w:qFormat/>
    <w:uiPriority w:val="0"/>
    <w:pPr>
      <w:spacing w:before="180" w:after="180"/>
    </w:pPr>
  </w:style>
  <w:style w:type="paragraph" w:styleId="12">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HTML Preformatted"/>
    <w:basedOn w:val="1"/>
    <w:link w:val="40"/>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14:ligatures w14:val="none"/>
    </w:rPr>
  </w:style>
  <w:style w:type="paragraph" w:styleId="14">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5">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TML Code"/>
    <w:basedOn w:val="18"/>
    <w:semiHidden/>
    <w:unhideWhenUsed/>
    <w:qFormat/>
    <w:uiPriority w:val="99"/>
    <w:rPr>
      <w:rFonts w:ascii="宋体" w:hAnsi="宋体" w:eastAsia="宋体" w:cs="宋体"/>
      <w:sz w:val="24"/>
      <w:szCs w:val="24"/>
    </w:r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标题 2 字符"/>
    <w:basedOn w:val="18"/>
    <w:link w:val="3"/>
    <w:qFormat/>
    <w:uiPriority w:val="9"/>
    <w:rPr>
      <w:rFonts w:asciiTheme="majorHAnsi" w:hAnsiTheme="majorHAnsi" w:eastAsiaTheme="majorEastAsia" w:cstheme="majorBidi"/>
      <w:color w:val="2F5597" w:themeColor="accent1" w:themeShade="BF"/>
      <w:sz w:val="40"/>
      <w:szCs w:val="40"/>
    </w:rPr>
  </w:style>
  <w:style w:type="character" w:customStyle="1" w:styleId="23">
    <w:name w:val="标题 3 字符"/>
    <w:basedOn w:val="18"/>
    <w:link w:val="4"/>
    <w:uiPriority w:val="9"/>
    <w:rPr>
      <w:rFonts w:asciiTheme="majorHAnsi" w:hAnsiTheme="majorHAnsi" w:eastAsiaTheme="majorEastAsia" w:cstheme="majorBidi"/>
      <w:color w:val="2F5597" w:themeColor="accent1" w:themeShade="BF"/>
      <w:sz w:val="32"/>
      <w:szCs w:val="32"/>
    </w:rPr>
  </w:style>
  <w:style w:type="character" w:customStyle="1" w:styleId="24">
    <w:name w:val="标题 4 字符"/>
    <w:basedOn w:val="18"/>
    <w:link w:val="5"/>
    <w:semiHidden/>
    <w:qFormat/>
    <w:uiPriority w:val="9"/>
    <w:rPr>
      <w:rFonts w:cstheme="majorBidi"/>
      <w:color w:val="2F5597" w:themeColor="accent1" w:themeShade="BF"/>
      <w:sz w:val="28"/>
      <w:szCs w:val="28"/>
    </w:rPr>
  </w:style>
  <w:style w:type="character" w:customStyle="1" w:styleId="25">
    <w:name w:val="标题 5 字符"/>
    <w:basedOn w:val="18"/>
    <w:link w:val="6"/>
    <w:semiHidden/>
    <w:uiPriority w:val="9"/>
    <w:rPr>
      <w:rFonts w:cstheme="majorBidi"/>
      <w:color w:val="2F5597" w:themeColor="accent1" w:themeShade="BF"/>
      <w:sz w:val="24"/>
    </w:rPr>
  </w:style>
  <w:style w:type="character" w:customStyle="1" w:styleId="26">
    <w:name w:val="标题 6 字符"/>
    <w:basedOn w:val="18"/>
    <w:link w:val="7"/>
    <w:semiHidden/>
    <w:uiPriority w:val="9"/>
    <w:rPr>
      <w:rFonts w:cstheme="majorBidi"/>
      <w:b/>
      <w:bCs/>
      <w:color w:val="2F5597"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8"/>
    <w:link w:val="36"/>
    <w:qFormat/>
    <w:uiPriority w:val="30"/>
    <w:rPr>
      <w:i/>
      <w:iCs/>
      <w:color w:val="2F5597" w:themeColor="accent1" w:themeShade="BF"/>
    </w:rPr>
  </w:style>
  <w:style w:type="character" w:customStyle="1" w:styleId="38">
    <w:name w:val="Intense Reference"/>
    <w:basedOn w:val="18"/>
    <w:qFormat/>
    <w:uiPriority w:val="32"/>
    <w:rPr>
      <w:b/>
      <w:bCs/>
      <w:smallCaps/>
      <w:color w:val="2F5597" w:themeColor="accent1" w:themeShade="BF"/>
      <w:spacing w:val="5"/>
    </w:rPr>
  </w:style>
  <w:style w:type="paragraph" w:customStyle="1" w:styleId="39">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40">
    <w:name w:val="HTML 预设格式 字符"/>
    <w:basedOn w:val="18"/>
    <w:link w:val="13"/>
    <w:semiHidden/>
    <w:qFormat/>
    <w:uiPriority w:val="99"/>
    <w:rPr>
      <w:rFonts w:ascii="宋体" w:hAnsi="宋体" w:eastAsia="宋体" w:cs="宋体"/>
      <w:kern w:val="0"/>
      <w:sz w:val="24"/>
      <w14:ligatures w14:val="none"/>
    </w:rPr>
  </w:style>
  <w:style w:type="character" w:customStyle="1" w:styleId="41">
    <w:name w:val="Verbatim Char"/>
    <w:basedOn w:val="42"/>
    <w:link w:val="43"/>
    <w:qFormat/>
    <w:uiPriority w:val="0"/>
  </w:style>
  <w:style w:type="character" w:customStyle="1" w:styleId="42">
    <w:name w:val="Body Text Char"/>
    <w:basedOn w:val="18"/>
    <w:link w:val="11"/>
    <w:uiPriority w:val="0"/>
  </w:style>
  <w:style w:type="paragraph" w:customStyle="1" w:styleId="43">
    <w:name w:val="Source Code"/>
    <w:basedOn w:val="1"/>
    <w:link w:val="41"/>
    <w:uiPriority w:val="0"/>
    <w:pPr>
      <w:wordWrap w:val="0"/>
    </w:pPr>
  </w:style>
  <w:style w:type="paragraph" w:customStyle="1" w:styleId="44">
    <w:name w:val="Compact"/>
    <w:basedOn w:val="11"/>
    <w:qFormat/>
    <w:uiPriority w:val="0"/>
    <w:pPr>
      <w:spacing w:before="36" w:after="36"/>
    </w:pPr>
  </w:style>
  <w:style w:type="table" w:customStyle="1" w:styleId="45">
    <w:name w:val="Table"/>
    <w:semiHidden/>
    <w:unhideWhenUsed/>
    <w:qFormat/>
    <w:uiPriority w:val="0"/>
    <w:tblPr>
      <w:tblCellMar>
        <w:top w:w="0" w:type="dxa"/>
        <w:left w:w="108" w:type="dxa"/>
        <w:bottom w:w="0" w:type="dxa"/>
        <w:right w:w="108" w:type="dxa"/>
      </w:tblCellMar>
    </w:tblPr>
  </w:style>
  <w:style w:type="paragraph" w:customStyle="1" w:styleId="46">
    <w:name w:val="First Paragraph"/>
    <w:basedOn w:val="11"/>
    <w:next w:val="1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9F9F2-1381-448A-B1EE-E70EC2E08FD2}">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2959</Words>
  <Characters>3053</Characters>
  <Lines>81</Lines>
  <Paragraphs>23</Paragraphs>
  <TotalTime>5</TotalTime>
  <ScaleCrop>false</ScaleCrop>
  <LinksUpToDate>false</LinksUpToDate>
  <CharactersWithSpaces>3146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2026-06-30T15:33:00Z</dcterms:created>
  <dc:creator>N T</dc:creator>
  <cp:lastModifiedBy>丶Sparks°Îǒv</cp:lastModifiedBy>
  <dcterms:modified xsi:type="dcterms:W3CDTF">2026-07-01T12:14:44Z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eyJoZGlkIjoiY2Q1NjY5OWZiZWZhNGE3ZmIyMjk2YjNkNDJhYTQ3YWMiLCJ1c2VySWQiOiIzNTA5MzA0NDcifQ==</vt:lpwstr>
  </property>
  <property fmtid="{D5CDD505-2E9C-101B-9397-08002B2CF9AE}" pid="3" name="KSOProductBuildVer">
    <vt:lpwstr>2052-12.1.0.20305</vt:lpwstr>
  </property>
  <property fmtid="{D5CDD505-2E9C-101B-9397-08002B2CF9AE}" pid="4" name="ICV">
    <vt:lpwstr>5FC9ADA9DB264677BAC87A4303D36D15_12</vt:lpwstr>
  </property>
</Properties>
</file>