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b205e996aa4e4ace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tbl>
      <w:tblPr>
        <w:tblW w:w="5000" w:type="pct"/>
        <w:tblBorders>
          <w:top w:val="nil"/>
          <w:left w:val="single" w:color="1F3A5F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w="9026" w:type="dxa"/>
            <w:shd w:val="clear" w:fill="EDF3F9"/>
            <w:tcMar>
              <w:top w:w="140" w:type="dxa"/>
              <w:left w:w="220" w:type="dxa"/>
              <w:bottom w:w="140" w:type="dxa"/>
            </w:tcMar>
          </w:tcPr>
          <w:p>
            <w:pPr>
              <w:spacing w:after="80"/>
            </w:pPr>
            <w:r>
              <w:rPr>
                <w:b/>
                <w:color w:val="2E6EAE"/>
                <w:spacing w:val="30"/>
                <w:sz w:val="20"/>
              </w:rPr>
              <w:t>MEMO 03 — HYGIÈNE CHR</w:t>
            </w:r>
          </w:p>
          <w:p>
            <w:pPr>
              <w:spacing w:after="80"/>
            </w:pPr>
            <w:r>
              <w:rPr>
                <w:b/>
                <w:color w:val="1F3A5F"/>
                <w:sz w:val="44"/>
              </w:rPr>
              <w:t>NETTOYAGE ET DÉSINFECTION DU MATÉRIEL</w:t>
            </w:r>
          </w:p>
          <w:p>
            <w:r>
              <w:rPr>
                <w:color w:val="4C5B66"/>
                <w:sz w:val="21"/>
              </w:rPr>
              <w:t>Protocoles standards adaptables aux produits utilisés dans votre établissement — restaurants, hôtels, cuisines centrales, traiteurs.</w:t>
            </w:r>
          </w:p>
        </w:tc>
      </w:tr>
    </w:tbl>
    <w:p>
      <w:pPr>
        <w:spacing w:after="160"/>
      </w:pPr>
      <w:r>
        <w:rPr>
          <w:color w:val="7A8894"/>
          <w:sz w:val="17"/>
        </w:rPr>
        <w:t>Version 1.0  ·  À afficher en cuisine et à joindre au plan HACCP  ·  Responsable : le chef de cuisine / le gérant</w:t>
      </w:r>
    </w:p>
    <w:tbl>
      <w:tblPr>
        <w:tblW w:w="5000" w:type="pct"/>
        <w:tblBorders>
          <w:top w:val="single" w:color="C07A28" w:sz="4"/>
          <w:left w:val="single" w:color="C07A28" w:sz="18"/>
          <w:bottom w:val="single" w:color="C07A28" w:sz="4"/>
          <w:right w:val="single" w:color="C07A28" w:sz="4"/>
          <w:insideH w:val="nil"/>
          <w:insideV w:val="nil"/>
        </w:tblBorders>
      </w:tblPr>
      <w:tblGrid>
        <w:gridCol w:w="9026"/>
      </w:tblGrid>
      <w:tr>
        <w:tc>
          <w:tcPr>
            <w:tcW w:w="9026" w:type="dxa"/>
            <w:shd w:val="clear" w:fill="FAF0DE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C07A28"/>
                <w:sz w:val="19"/>
              </w:rPr>
              <w:t xml:space="preserve">⚠  PROTOCOLE GÉNÉRIQUE — LISEZ AVANT TOUTE UTILISATION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Ce mémo ne se substitue pas aux instructions du fabricant. Il ne préconise aucune marque, aucune concentration ni aucun dosage universel.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Pour chaque produit utilisé, référez-vous systématiquement à : la Fiche Technique (FT), la Fiche de Données de Sécurité (FDS), l'Autorisation de Mise sur le Marché (AMM) lorsqu'elle est applicable, et aux procédures internes de votre établissement.</w:t>
            </w:r>
          </w:p>
        </w:tc>
      </w:tr>
    </w:tbl>
    <w:p>
      <w:pPr>
        <w:keepNext/>
        <w:spacing w:before="200" w:after="80"/>
        <w:jc w:val="center"/>
      </w:pPr>
      <w:r>
        <w:drawing>
          <wp:inline distT="0" distB="0" distL="0" distR="0">
            <wp:extent cx="5400000" cy="3600000"/>
            <wp:effectExtent l="0" t="0" r="0" b="0"/>
            <wp:docPr id="1" name="Poste de nettoyage en cuisine professionnel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 de nettoyage en cuisine professionnelle.png"/>
                    <pic:cNvPicPr/>
                  </pic:nvPicPr>
                  <pic:blipFill>
                    <a:blip r:embed="R193ff30dbc0f47ba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Un poste de nettoyage organisé : produits identifiés, lavettes dédiées, EPI à portée de main.</w:t>
      </w:r>
    </w:p>
    <w:p>
      <w:pPr>
        <w:pStyle w:val="Heading1"/>
      </w:pPr>
      <w:r>
        <w:t>1. NETTOYAGE ET DÉSINFECTION : QUELLE DIFFÉRENCE ?</w:t>
      </w:r>
    </w:p>
    <w:tbl>
      <w:tblPr>
        <w:tblW w:w="5000" w:type="pct"/>
        <w:tblBorders>
          <w:top w:val="single" w:color="1F3A5F" w:sz="12"/>
          <w:left w:val="single" w:color="C4D4E2" w:sz="4"/>
          <w:bottom w:val="single" w:color="1F3A5F" w:sz="12"/>
          <w:right w:val="single" w:color="C4D4E2" w:sz="4"/>
          <w:insideH w:val="single" w:color="C4D4E2" w:sz="4"/>
          <w:insideV w:val="single" w:color="C4D4E2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FFFFFF"/>
                <w:sz w:val="19"/>
              </w:rPr>
              <w:t xml:space="preserve">NETTOYAGE</w:t>
            </w:r>
          </w:p>
        </w:tc>
        <w:tc>
          <w:tcPr>
            <w:tcW w:w="4513" w:type="dxa"/>
            <w:shd w:val="clear" w:fill="3E7C4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FFFFFF"/>
                <w:sz w:val="19"/>
              </w:rPr>
              <w:t xml:space="preserve">DÉSINFECTION</w:t>
            </w:r>
          </w:p>
        </w:tc>
      </w:tr>
      <w:tr>
        <w:tc>
          <w:tcPr>
            <w:tcW w:w="4513" w:type="dxa"/>
            <w:shd w:val="clear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1F3A5F"/>
                <w:sz w:val="19"/>
              </w:rPr>
              <w:t xml:space="preserve">Objectif : éliminer les souillures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• Saletés visibles et poussières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• Résidus alimentaires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• Graisses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• Protéines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• Amidon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• Dépôts minéraux (calcaire)</w:t>
            </w:r>
          </w:p>
          <w:p>
            <w:pPr>
              <w:spacing w:after="80" w:line="264" w:lineRule="auto"/>
            </w:pPr>
            <w:r>
              <w:rPr>
                <w:b/>
                <w:color w:val="26333F"/>
                <w:sz w:val="19"/>
              </w:rPr>
              <w:t xml:space="preserve">Moyens : détergent + eau + action mécanique + rinçage</w:t>
            </w:r>
          </w:p>
        </w:tc>
        <w:tc>
          <w:tcPr>
            <w:tcW w:w="4513" w:type="dxa"/>
            <w:shd w:val="clear" w:fill="F7FB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3E7C4F"/>
                <w:sz w:val="19"/>
              </w:rPr>
              <w:t xml:space="preserve">Objectif : réduire les micro-organismes à un niveau maîtrisé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• Bactéries, levures, moisissures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• Virus selon le spectre du produit</w:t>
            </w:r>
          </w:p>
          <w:p>
            <w:pPr>
              <w:spacing w:after="80" w:line="264" w:lineRule="auto"/>
            </w:pPr>
            <w:r>
              <w:rPr>
                <w:b/>
                <w:color w:val="26333F"/>
                <w:sz w:val="19"/>
              </w:rPr>
              <w:t xml:space="preserve">Moyens : désinfectant adapté + concentration exacte + temps de contact</w:t>
            </w:r>
          </w:p>
          <w:p>
            <w:pPr>
              <w:spacing w:after="80" w:line="264" w:lineRule="auto"/>
            </w:pPr>
            <w:r>
              <w:rPr>
                <w:b/>
                <w:color w:val="A8322A"/>
                <w:sz w:val="19"/>
              </w:rPr>
              <w:t xml:space="preserve">⚠ Efficace uniquement sur une surface propre</w:t>
            </w:r>
          </w:p>
        </w:tc>
      </w:tr>
    </w:tbl>
    <w:tbl>
      <w:tblPr>
        <w:tblW w:w="5000" w:type="pct"/>
        <w:tblBorders>
          <w:top w:val="single" w:color="1F3A5F" w:sz="4"/>
          <w:left w:val="single" w:color="1F3A5F" w:sz="18"/>
          <w:bottom w:val="single" w:color="1F3A5F" w:sz="4"/>
          <w:right w:val="single" w:color="1F3A5F" w:sz="4"/>
          <w:insideH w:val="nil"/>
          <w:insideV w:val="nil"/>
        </w:tblBorders>
      </w:tblPr>
      <w:tblGrid>
        <w:gridCol w:w="9026"/>
      </w:tblGrid>
      <w:tr>
        <w:tc>
          <w:tcPr>
            <w:tcW w:w="9026" w:type="dxa"/>
            <w:shd w:val="clear" w:fill="EDF3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1F3A5F"/>
                <w:sz w:val="19"/>
              </w:rPr>
              <w:t xml:space="preserve">RÈGLE ESSENTIELLE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La désinfection ne remplace pas le nettoyage. Un désinfectant appliqué sur une surface sale perd l'essentiel de son efficacité.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TOUJOURS NETTOYER AVANT DE DÉSINFECTER.</w:t>
            </w:r>
          </w:p>
        </w:tc>
      </w:tr>
    </w:tbl>
    <w:p>
      <w:pPr>
        <w:pStyle w:val="Heading1"/>
      </w:pPr>
      <w:r>
        <w:t>2. LE PRINCIPE TACT — LES 4 CONDITIONS D'EFFICACITÉ</w:t>
      </w:r>
    </w:p>
    <w:p>
      <w:pPr>
        <w:spacing w:after="200" w:line="300" w:lineRule="auto"/>
      </w:pPr>
      <w:r>
        <w:t xml:space="preserve">L'efficacité d'un nettoyage ou d'une désinfection repose toujours sur quatre facteurs complémentaires. Si l'un manque, le résultat n'est pas garanti.</w:t>
      </w:r>
    </w:p>
    <w:tbl>
      <w:tblPr>
        <w:tblW w:w="5000" w:type="pct"/>
        <w:tblBorders>
          <w:top w:val="single" w:color="1F3A5F" w:sz="12"/>
          <w:left w:val="single" w:color="C4D4E2" w:sz="4"/>
          <w:bottom w:val="single" w:color="1F3A5F" w:sz="12"/>
          <w:right w:val="single" w:color="C4D4E2" w:sz="4"/>
          <w:insideH w:val="single" w:color="C4D4E2" w:sz="4"/>
          <w:insideV w:val="single" w:color="C4D4E2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Facteur</w:t>
            </w:r>
          </w:p>
        </w:tc>
        <w:tc>
          <w:tcPr>
            <w:tcW w:w="6626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Ce qu'il faut respecter</w:t>
            </w:r>
          </w:p>
        </w:tc>
      </w:tr>
      <w:tr>
        <w:tc>
          <w:tcPr>
            <w:tcW w:w="2400" w:type="dxa"/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T — TEMPÉRATURE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Respecter la température recommandée par le fabricant. Trop basse ou trop élevée, elle peut réduire l'efficacité du produit ou détériorer le support.</w:t>
            </w:r>
          </w:p>
        </w:tc>
      </w:tr>
      <w:tr>
        <w:tc>
          <w:tcPr>
            <w:tcW w:w="2400" w:type="dxa"/>
            <w:shd w:val="clear" w:fill="2E6EA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A — ACTION MÉCANIQUE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Frotter, brosser, essuyer ou agiter pour décoller les salissures : la chimie seule ne suffit pas.</w:t>
            </w:r>
          </w:p>
        </w:tc>
      </w:tr>
      <w:tr>
        <w:tc>
          <w:tcPr>
            <w:tcW w:w="2400" w:type="dxa"/>
            <w:shd w:val="clear" w:fill="3E7C4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 — CONCENTRATION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Respecter exactement la dilution ou la concentration indiquée sur la Fiche Technique. Ni plus, ni moins.</w:t>
            </w:r>
          </w:p>
        </w:tc>
      </w:tr>
      <w:tr>
        <w:tc>
          <w:tcPr>
            <w:tcW w:w="2400" w:type="dxa"/>
            <w:shd w:val="clear" w:fill="C07A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T — TEMPS DE CONTACT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Respecter la durée d'action indiquée : le produit doit rester en contact avec la surface pendant toute la durée prévue.</w:t>
            </w:r>
          </w:p>
        </w:tc>
      </w:tr>
    </w:tbl>
    <w:p>
      <w:pPr>
        <w:spacing w:before="160"/>
      </w:pPr>
      <w:r>
        <w:rPr>
          <w:b/>
          <w:color w:val="A8322A"/>
          <w:sz w:val="19"/>
        </w:rPr>
        <w:t>Sous-dosage = efficacité insuffisante.  Surdosage = risque chimique, résidus, gaspillage et détérioration du matériel.</w:t>
      </w:r>
    </w:p>
    <w:p>
      <w:pPr>
        <w:pStyle w:val="Heading1"/>
      </w:pPr>
      <w:r>
        <w:t>3. COMMENT CHOISIR LE BON PRODUIT ?</w:t>
      </w:r>
    </w:p>
    <w:p>
      <w:pPr>
        <w:spacing w:after="200" w:line="300" w:lineRule="auto"/>
      </w:pPr>
      <w:r>
        <w:t xml:space="preserve">Quatre critères guident le choix. Il n'existe pas de produit universel : validez chaque choix avec la Fiche Technique du produit.</w:t>
      </w:r>
    </w:p>
    <w:tbl>
      <w:tblPr>
        <w:tblW w:w="5000" w:type="pct"/>
        <w:tblBorders>
          <w:top w:val="single" w:color="1F3A5F" w:sz="12"/>
          <w:left w:val="single" w:color="C4D4E2" w:sz="4"/>
          <w:bottom w:val="single" w:color="1F3A5F" w:sz="12"/>
          <w:right w:val="single" w:color="C4D4E2" w:sz="4"/>
          <w:insideH w:val="single" w:color="C4D4E2" w:sz="4"/>
          <w:insideV w:val="single" w:color="C4D4E2" w:sz="4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w="1900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Critère</w:t>
            </w:r>
          </w:p>
        </w:tc>
        <w:tc>
          <w:tcPr>
            <w:tcW w:w="3563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Exemples</w:t>
            </w:r>
          </w:p>
        </w:tc>
        <w:tc>
          <w:tcPr>
            <w:tcW w:w="3563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Point de vigilance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1 — TYPE DE SALETÉ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Graisses, protéines, amidon, sucre, calcaire, résidus carbonisés, salissures mixtes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Choisir la famille adaptée : dégraissant, alcalin, acide, détartrant, enzymatique ou produit spécifique — sans imposer de marque.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2 — TYPE D'EAU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Eau douce, eau moyennement dure, eau dure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La dureté de l'eau influence l'efficacité du nettoyage et favorise les dépôts calcaires : adapter le produit et le dosage.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3 — TYPE DE NETTOYAGE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Manuel, trempage, lave-vaisselle, tunnel de lavage, nettoyage mousse, CIP (nettoyage en place)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Certains produits sont formulés pour une méthode précise : vérifier l'usage prévu sur la Fiche Technique.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4 — TYPE DE SUPPORT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Inox, aluminium, plastique, verre, caoutchouc, céramique, plans de travail, sols, murs, équipements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Vérifier la compatibilité produit / matériau pour éviter corrosion, oxydation, décoloration ou détérioration.</w:t>
            </w:r>
          </w:p>
        </w:tc>
      </w:tr>
    </w:tbl>
    <w:p>
      <w:pPr>
        <w:pStyle w:val="Heading1"/>
      </w:pPr>
      <w:r>
        <w:t>4. DÉSINFECTION : PRODUITS CHLORÉS OU ALCOOL ?</w:t>
      </w:r>
    </w:p>
    <w:tbl>
      <w:tblPr>
        <w:tblW w:w="5000" w:type="pct"/>
        <w:tblBorders>
          <w:top w:val="single" w:color="1F3A5F" w:sz="12"/>
          <w:left w:val="single" w:color="C4D4E2" w:sz="4"/>
          <w:bottom w:val="single" w:color="1F3A5F" w:sz="12"/>
          <w:right w:val="single" w:color="C4D4E2" w:sz="4"/>
          <w:insideH w:val="single" w:color="C4D4E2" w:sz="4"/>
          <w:insideV w:val="single" w:color="C4D4E2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FFFFFF"/>
                <w:sz w:val="19"/>
              </w:rPr>
              <w:t xml:space="preserve">PRODUITS CHLORÉS</w:t>
            </w:r>
          </w:p>
        </w:tc>
        <w:tc>
          <w:tcPr>
            <w:tcW w:w="4513" w:type="dxa"/>
            <w:shd w:val="clear" w:fill="2E6EAE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FFFFFF"/>
                <w:sz w:val="19"/>
              </w:rPr>
              <w:t xml:space="preserve">PRODUITS À BASE D'ALCOOL</w:t>
            </w:r>
          </w:p>
        </w:tc>
      </w:tr>
      <w:tr>
        <w:tc>
          <w:tcPr>
            <w:tcW w:w="4513" w:type="dxa"/>
            <w:shd w:val="clear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+ Large spectre d'action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+ Souvent utilisés pour surfaces, équipements et ustensiles (selon le produit)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− Efficacité réduite par la matière organique : pré-nettoyage indispensable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− Respect strict de la concentration et du temps de contact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− Rinçage à l'eau potable lorsque la FT l'exige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− Risque de corrosion sur certains matériaux</w:t>
            </w:r>
          </w:p>
        </w:tc>
        <w:tc>
          <w:tcPr>
            <w:tcW w:w="4513" w:type="dxa"/>
            <w:shd w:val="clear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+ Action rapide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+ Pratique pour petites surfaces et équipements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+ Souvent sans rinçage lorsque le produit est prévu pour cet usage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− S'applique sur une surface préalablement propre</w:t>
            </w:r>
          </w:p>
          <w:p>
            <w:pPr>
              <w:spacing w:after="80" w:line="264" w:lineRule="auto"/>
            </w:pPr>
            <w:r>
              <w:rPr>
                <w:color w:val="4C5B66"/>
                <w:sz w:val="19"/>
              </w:rPr>
              <w:t xml:space="preserve">− Efficacité réduite sur une surface sale</w:t>
            </w:r>
          </w:p>
          <w:p>
            <w:pPr>
              <w:spacing w:after="80" w:line="264" w:lineRule="auto"/>
            </w:pPr>
            <w:r>
              <w:rPr>
                <w:b/>
                <w:color w:val="A8322A"/>
                <w:sz w:val="19"/>
              </w:rPr>
              <w:t xml:space="preserve">⚠ Produit inflammable : éloigner des flammes et sources de chaleur</w:t>
            </w:r>
          </w:p>
        </w:tc>
      </w:tr>
    </w:tbl>
    <w:p>
      <w:pPr>
        <w:spacing w:before="120"/>
      </w:pPr>
      <w:r>
        <w:rPr>
          <w:i/>
          <w:color w:val="4C5B66"/>
          <w:sz w:val="18"/>
        </w:rPr>
        <w:t>Il n'existe pas de concentration universelle : consultez toujours la Fiche Technique et l'AMM du produit utilisé. Vérifiez la compatibilité avec le contact alimentaire et les matériaux.</w:t>
      </w:r>
    </w:p>
    <w:p>
      <w:pPr>
        <w:pStyle w:val="Heading1"/>
      </w:pPr>
      <w:r>
        <w:t>5. PROTOCOLE — NETTOYAGE PAR TREMPAGE (6 ÉTAPES)</w:t>
      </w:r>
    </w:p>
    <w:p>
      <w:pPr>
        <w:numPr>
          <w:ilvl w:val="0"/>
          <w:numId w:val="1"/>
        </w:numPr>
        <w:spacing w:after="100" w:line="300" w:lineRule="auto"/>
      </w:pPr>
      <w:r>
        <w:t>PRÉ-NETTOYAGE — Éliminer les résidus alimentaires, racler si nécessaire, effectuer un premier rinçage.</w:t>
      </w:r>
    </w:p>
    <w:p>
      <w:pPr>
        <w:numPr>
          <w:ilvl w:val="0"/>
          <w:numId w:val="1"/>
        </w:numPr>
        <w:spacing w:after="100" w:line="300" w:lineRule="auto"/>
      </w:pPr>
      <w:r>
        <w:t>PRÉPARER LA SOLUTION — Utiliser un récipient propre et identifié ; préparer la solution conformément à la Fiche Technique : concentration et température exactes.</w:t>
      </w:r>
    </w:p>
    <w:p>
      <w:pPr>
        <w:numPr>
          <w:ilvl w:val="0"/>
          <w:numId w:val="1"/>
        </w:numPr>
        <w:spacing w:after="100" w:line="300" w:lineRule="auto"/>
      </w:pPr>
      <w:r>
        <w:t>TREMPAGE — Immerger complètement le matériel, respecter le temps prévu, ne pas surcharger le bac.</w:t>
      </w:r>
    </w:p>
    <w:p>
      <w:pPr>
        <w:numPr>
          <w:ilvl w:val="0"/>
          <w:numId w:val="1"/>
        </w:numPr>
        <w:spacing w:after="100" w:line="300" w:lineRule="auto"/>
      </w:pPr>
      <w:r>
        <w:t>ACTION MÉCANIQUE — Brosser ou frotter si nécessaire, en insistant sur les zones difficiles d'accès (manchettes, soudures, poignées).</w:t>
      </w:r>
    </w:p>
    <w:p>
      <w:pPr>
        <w:numPr>
          <w:ilvl w:val="0"/>
          <w:numId w:val="1"/>
        </w:numPr>
        <w:spacing w:after="100" w:line="300" w:lineRule="auto"/>
      </w:pPr>
      <w:r>
        <w:t>RINÇAGE — Rincer à l'eau potable jusqu'à élimination totale des résidus de détergent.</w:t>
      </w:r>
    </w:p>
    <w:p>
      <w:pPr>
        <w:numPr>
          <w:ilvl w:val="0"/>
          <w:numId w:val="1"/>
        </w:numPr>
        <w:spacing w:after="100" w:line="300" w:lineRule="auto"/>
      </w:pPr>
      <w:r>
        <w:t>SÉCHAGE — Laisser sécher à l'air libre ; ne jamais essuyer avec un chiffon sale ; stocker ensuite dans une zone propre.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4680000" cy="3120000"/>
            <wp:effectExtent l="0" t="0" r="0" b="0"/>
            <wp:docPr id="2" name="Trempage du matériel de cuis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mpage du matériel de cuisine.png"/>
                    <pic:cNvPicPr/>
                  </pic:nvPicPr>
                  <pic:blipFill>
                    <a:blip r:embed="R30212ec87f3a499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Trempage : matériel entièrement immergé, bac non surchargé, solution préparée selon la Fiche Technique.</w:t>
      </w:r>
    </w:p>
    <w:p>
      <w:pPr>
        <w:pStyle w:val="Heading1"/>
      </w:pPr>
      <w:r>
        <w:t>6. PROTOCOLE — DÉSINFECTION PAR TREMPAGE (7 ÉTAPES)</w:t>
      </w:r>
    </w:p>
    <w:p>
      <w:pPr>
        <w:numPr>
          <w:ilvl w:val="0"/>
          <w:numId w:val="3"/>
        </w:numPr>
        <w:spacing w:after="100" w:line="300" w:lineRule="auto"/>
      </w:pPr>
      <w:r>
        <w:t>Vérifier que le matériel est préalablement NETTOYÉ ET RINCÉ.</w:t>
      </w:r>
    </w:p>
    <w:p>
      <w:pPr>
        <w:numPr>
          <w:ilvl w:val="0"/>
          <w:numId w:val="3"/>
        </w:numPr>
        <w:spacing w:after="100" w:line="300" w:lineRule="auto"/>
      </w:pPr>
      <w:r>
        <w:t>Préparer la solution désinfectante selon la Fiche Technique : concentration et température recommandées.</w:t>
      </w:r>
    </w:p>
    <w:p>
      <w:pPr>
        <w:numPr>
          <w:ilvl w:val="0"/>
          <w:numId w:val="3"/>
        </w:numPr>
        <w:spacing w:after="100" w:line="300" w:lineRule="auto"/>
      </w:pPr>
      <w:r>
        <w:t>Immerger totalement le matériel dans la solution.</w:t>
      </w:r>
    </w:p>
    <w:p>
      <w:pPr>
        <w:numPr>
          <w:ilvl w:val="0"/>
          <w:numId w:val="3"/>
        </w:numPr>
        <w:spacing w:after="100" w:line="300" w:lineRule="auto"/>
      </w:pPr>
      <w:r>
        <w:t>Respecter intégralement le temps de contact indiqué par le fabricant.</w:t>
      </w:r>
    </w:p>
    <w:p>
      <w:pPr>
        <w:numPr>
          <w:ilvl w:val="0"/>
          <w:numId w:val="3"/>
        </w:numPr>
        <w:spacing w:after="100" w:line="300" w:lineRule="auto"/>
      </w:pPr>
      <w:r>
        <w:t>Rincer à l'eau potable uniquement si la Fiche Technique l'exige.</w:t>
      </w:r>
    </w:p>
    <w:p>
      <w:pPr>
        <w:numPr>
          <w:ilvl w:val="0"/>
          <w:numId w:val="3"/>
        </w:numPr>
        <w:spacing w:after="100" w:line="300" w:lineRule="auto"/>
      </w:pPr>
      <w:r>
        <w:t>Laisser sécher à l'air libre.</w:t>
      </w:r>
    </w:p>
    <w:p>
      <w:pPr>
        <w:numPr>
          <w:ilvl w:val="0"/>
          <w:numId w:val="3"/>
        </w:numPr>
        <w:spacing w:after="100" w:line="300" w:lineRule="auto"/>
      </w:pPr>
      <w:r>
        <w:t>Stocker le matériel dans un endroit propre, sec et protégé des recontaminations.</w:t>
      </w:r>
    </w:p>
    <w:p>
      <w:pPr>
        <w:pStyle w:val="Heading1"/>
      </w:pPr>
      <w:r>
        <w:t>7. PROTOCOLE — SURFACES EN CONTACT AVEC LES ALIMENTS (8 ÉTAPES)</w:t>
      </w:r>
    </w:p>
    <w:p>
      <w:pPr>
        <w:numPr>
          <w:ilvl w:val="0"/>
          <w:numId w:val="4"/>
        </w:numPr>
        <w:spacing w:after="100" w:line="300" w:lineRule="auto"/>
      </w:pPr>
      <w:r>
        <w:t>Retirer les résidus alimentaires de la surface.</w:t>
      </w:r>
    </w:p>
    <w:p>
      <w:pPr>
        <w:numPr>
          <w:ilvl w:val="0"/>
          <w:numId w:val="4"/>
        </w:numPr>
        <w:spacing w:after="100" w:line="300" w:lineRule="auto"/>
      </w:pPr>
      <w:r>
        <w:t>Appliquer le produit de nettoyage adapté à la surface.</w:t>
      </w:r>
    </w:p>
    <w:p>
      <w:pPr>
        <w:numPr>
          <w:ilvl w:val="0"/>
          <w:numId w:val="4"/>
        </w:numPr>
        <w:spacing w:after="100" w:line="300" w:lineRule="auto"/>
      </w:pPr>
      <w:r>
        <w:t>Respecter le principe TACT : température, action mécanique, concentration, temps de contact.</w:t>
      </w:r>
    </w:p>
    <w:p>
      <w:pPr>
        <w:numPr>
          <w:ilvl w:val="0"/>
          <w:numId w:val="4"/>
        </w:numPr>
        <w:spacing w:after="100" w:line="300" w:lineRule="auto"/>
      </w:pPr>
      <w:r>
        <w:t>Rincer à l'eau potable.</w:t>
      </w:r>
    </w:p>
    <w:p>
      <w:pPr>
        <w:numPr>
          <w:ilvl w:val="0"/>
          <w:numId w:val="4"/>
        </w:numPr>
        <w:spacing w:after="100" w:line="300" w:lineRule="auto"/>
      </w:pPr>
      <w:r>
        <w:t>Appliquer le désinfectant prévu pour le contact alimentaire.</w:t>
      </w:r>
    </w:p>
    <w:p>
      <w:pPr>
        <w:numPr>
          <w:ilvl w:val="0"/>
          <w:numId w:val="4"/>
        </w:numPr>
        <w:spacing w:after="100" w:line="300" w:lineRule="auto"/>
      </w:pPr>
      <w:r>
        <w:t>Respecter le temps de contact du désinfectant.</w:t>
      </w:r>
    </w:p>
    <w:p>
      <w:pPr>
        <w:numPr>
          <w:ilvl w:val="0"/>
          <w:numId w:val="4"/>
        </w:numPr>
        <w:spacing w:after="100" w:line="300" w:lineRule="auto"/>
      </w:pPr>
      <w:r>
        <w:t>Rincer à l'eau potable si la Fiche Technique l'exige.</w:t>
      </w:r>
    </w:p>
    <w:p>
      <w:pPr>
        <w:numPr>
          <w:ilvl w:val="0"/>
          <w:numId w:val="4"/>
        </w:numPr>
        <w:spacing w:after="100" w:line="300" w:lineRule="auto"/>
      </w:pPr>
      <w:r>
        <w:t>Laisser sécher à l'air libre, ou essuyer avec un papier propre à usage unique lorsque la procédure le prévoit.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4680000" cy="3120000"/>
            <wp:effectExtent l="0" t="0" r="0" b="0"/>
            <wp:docPr id="3" name="Nettoyage et désinfection d'une surface de trav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toyage et désinfection d'une surface de travail.png"/>
                    <pic:cNvPicPr/>
                  </pic:nvPicPr>
                  <pic:blipFill>
                    <a:blip r:embed="R2b80640ddeed439f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Surface en contact alimentaire : nettoyer, rincer, désinfecter, respecter le temps de contact, laisser sécher.</w:t>
      </w:r>
    </w:p>
    <w:p>
      <w:pPr>
        <w:pStyle w:val="Heading1"/>
      </w:pPr>
      <w:r>
        <w:t>8. GESTION DES SOLUTIONS DE TREMPAGE</w:t>
      </w:r>
    </w:p>
    <w:tbl>
      <w:tblPr>
        <w:tblW w:w="5000" w:type="pct"/>
        <w:tblBorders>
          <w:top w:val="single" w:color="2E6EAE" w:sz="4"/>
          <w:left w:val="single" w:color="2E6EAE" w:sz="18"/>
          <w:bottom w:val="single" w:color="2E6EAE" w:sz="4"/>
          <w:right w:val="single" w:color="2E6EAE" w:sz="4"/>
          <w:insideH w:val="nil"/>
          <w:insideV w:val="nil"/>
        </w:tblBorders>
      </w:tblPr>
      <w:tblGrid>
        <w:gridCol w:w="9026"/>
      </w:tblGrid>
      <w:tr>
        <w:tc>
          <w:tcPr>
            <w:tcW w:w="9026" w:type="dxa"/>
            <w:shd w:val="clear" w:fill="EDF3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2E6EAE"/>
                <w:sz w:val="19"/>
              </w:rPr>
              <w:t xml:space="preserve">BONNES RÈGLES DE GESTION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Préparer les solutions dans des récipients propres et clairement identifiés — jamais dans un contenant alimentaire non identifié.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Renouveler la solution dès qu'elle est souillée, et selon la fréquence définie par la procédure interne.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Contrôler la concentration lorsque cela est nécessaire (bandelettes de contrôle, doseurs).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Ne jamais compléter une solution très sale en ajoutant simplement du produit.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Vider, nettoyer et rincer le bac avant de préparer une nouvelle solution.</w:t>
            </w:r>
          </w:p>
        </w:tc>
      </w:tr>
    </w:tbl>
    <w:p>
      <w:pPr>
        <w:pStyle w:val="Heading1"/>
      </w:pPr>
      <w:r>
        <w:t>9. DOCUMENTS À TENIR À DISPOSITION</w:t>
      </w:r>
    </w:p>
    <w:tbl>
      <w:tblPr>
        <w:tblW w:w="5000" w:type="pct"/>
        <w:tblBorders>
          <w:top w:val="single" w:color="1F3A5F" w:sz="12"/>
          <w:left w:val="single" w:color="C4D4E2" w:sz="4"/>
          <w:bottom w:val="single" w:color="1F3A5F" w:sz="12"/>
          <w:right w:val="single" w:color="C4D4E2" w:sz="4"/>
          <w:insideH w:val="single" w:color="C4D4E2" w:sz="4"/>
          <w:insideV w:val="single" w:color="C4D4E2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Document</w:t>
            </w:r>
          </w:p>
        </w:tc>
        <w:tc>
          <w:tcPr>
            <w:tcW w:w="6626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Ce qu'il doit vous permettre de connaître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FT — FICHE TECHNIQUE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Utilisation, dosage, dilution, température, temps de contact, rinçage, compatibilité avec les supports et le contact alimentaire.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FDS — FICHE DE DONNÉES DE SÉCURITÉ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Dangers, EPI à porter, conditions de stockage, mesures d'urgence, conduite à tenir en cas de projection, incompatibilités avec d'autres produits.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AMM — AUTORISATION DE MISE SUR LE MARCHÉ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Permet de vérifier que le désinfectant est autorisé pour l'usage concerné, lorsque cette autorisation est requise.</w:t>
            </w:r>
          </w:p>
        </w:tc>
      </w:tr>
    </w:tbl>
    <w:p>
      <w:pPr>
        <w:pStyle w:val="Heading1"/>
      </w:pPr>
      <w:r>
        <w:t>10. SÉCURITÉ DES PRODUITS CHIMIQUES</w:t>
      </w:r>
    </w:p>
    <w:p>
      <w:pPr>
        <w:numPr>
          <w:ilvl w:val="0"/>
          <w:numId w:val="2"/>
        </w:numPr>
        <w:spacing w:after="100" w:line="300" w:lineRule="auto"/>
      </w:pPr>
      <w:r>
        <w:t>Porter les EPI indiqués dans la FDS (gants, lunettes, tablier…).</w:t>
      </w:r>
    </w:p>
    <w:p>
      <w:pPr>
        <w:numPr>
          <w:ilvl w:val="0"/>
          <w:numId w:val="2"/>
        </w:numPr>
        <w:spacing w:after="100" w:line="300" w:lineRule="auto"/>
      </w:pPr>
      <w:r>
        <w:t>Respecter les pictogrammes de danger présents sur les étiquettes.</w:t>
      </w:r>
    </w:p>
    <w:p>
      <w:pPr>
        <w:numPr>
          <w:ilvl w:val="0"/>
          <w:numId w:val="2"/>
        </w:numPr>
        <w:spacing w:after="100" w:line="300" w:lineRule="auto"/>
      </w:pPr>
      <w:r>
        <w:t>Ne jamais mélanger deux produits chimiques entre eux.</w:t>
      </w:r>
    </w:p>
    <w:p>
      <w:pPr>
        <w:numPr>
          <w:ilvl w:val="0"/>
          <w:numId w:val="2"/>
        </w:numPr>
        <w:spacing w:after="100" w:line="300" w:lineRule="auto"/>
      </w:pPr>
      <w:r>
        <w:t>Stocker les produits dans leur emballage d'origine, étiquettes lisibles.</w:t>
      </w:r>
    </w:p>
    <w:p>
      <w:pPr>
        <w:numPr>
          <w:ilvl w:val="0"/>
          <w:numId w:val="2"/>
        </w:numPr>
        <w:spacing w:after="100" w:line="300" w:lineRule="auto"/>
      </w:pPr>
      <w:r>
        <w:t>Respecter les conditions de stockage (température, lumière, ventilation).</w:t>
      </w:r>
    </w:p>
    <w:p>
      <w:pPr>
        <w:numPr>
          <w:ilvl w:val="0"/>
          <w:numId w:val="2"/>
        </w:numPr>
        <w:spacing w:after="100" w:line="300" w:lineRule="auto"/>
      </w:pPr>
      <w:r>
        <w:t>Ne jamais stocker les produits chimiques à proximité des denrées alimentaires.</w:t>
      </w:r>
    </w:p>
    <w:p>
      <w:pPr>
        <w:numPr>
          <w:ilvl w:val="0"/>
          <w:numId w:val="2"/>
        </w:numPr>
        <w:spacing w:after="100" w:line="300" w:lineRule="auto"/>
      </w:pPr>
      <w:r>
        <w:t>Tenir les produits hors de portée des personnes non autorisées.</w:t>
      </w:r>
    </w:p>
    <w:tbl>
      <w:tblPr>
        <w:tblW w:w="5000" w:type="pct"/>
        <w:tblBorders>
          <w:top w:val="single" w:color="A8322A" w:sz="4"/>
          <w:left w:val="single" w:color="A8322A" w:sz="18"/>
          <w:bottom w:val="single" w:color="A8322A" w:sz="4"/>
          <w:right w:val="single" w:color="A8322A" w:sz="4"/>
          <w:insideH w:val="nil"/>
          <w:insideV w:val="nil"/>
        </w:tblBorders>
      </w:tblPr>
      <w:tblGrid>
        <w:gridCol w:w="9026"/>
      </w:tblGrid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A8322A"/>
                <w:sz w:val="19"/>
              </w:rPr>
              <w:t xml:space="preserve">⚠  DANGER — RISQUE DE GAZ TOXIQUE</w:t>
            </w:r>
          </w:p>
          <w:p>
            <w:pPr>
              <w:spacing w:after="80" w:line="264" w:lineRule="auto"/>
            </w:pPr>
            <w:r>
              <w:rPr>
                <w:color w:val="26333F"/>
                <w:sz w:val="19"/>
              </w:rPr>
              <w:t xml:space="preserve">NE JAMAIS MÉLANGER des produits chlorés (eau de Javel) avec des produits acides ou ammoniacés : le mélange dégage des vapeurs toxiques dangereuses pour les voies respiratoires.</w:t>
            </w:r>
          </w:p>
        </w:tc>
      </w:tr>
    </w:tbl>
    <w:p>
      <w:pPr>
        <w:pStyle w:val="Heading1"/>
      </w:pPr>
      <w:r>
        <w:t>11. BONNES PRATIQUES — LE PLAN DE NETTOYAGE / DÉSINFECTION</w:t>
      </w:r>
    </w:p>
    <w:p>
      <w:pPr>
        <w:spacing w:after="200" w:line="300" w:lineRule="auto"/>
      </w:pPr>
      <w:r>
        <w:t xml:space="preserve">Chaque établissement formalise un plan de nettoyage et de désinfection. Pour chaque poste ou équipement, le plan définit :</w:t>
      </w:r>
    </w:p>
    <w:tbl>
      <w:tblPr>
        <w:tblW w:w="5000" w:type="pct"/>
        <w:tblBorders>
          <w:top w:val="single" w:color="1F3A5F" w:sz="12"/>
          <w:left w:val="single" w:color="C4D4E2" w:sz="4"/>
          <w:bottom w:val="single" w:color="1F3A5F" w:sz="12"/>
          <w:right w:val="single" w:color="C4D4E2" w:sz="4"/>
          <w:insideH w:val="single" w:color="C4D4E2" w:sz="4"/>
          <w:insideV w:val="single" w:color="C4D4E2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w="3000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Le plan définit…</w:t>
            </w:r>
          </w:p>
        </w:tc>
        <w:tc>
          <w:tcPr>
            <w:tcW w:w="6026" w:type="dxa"/>
            <w:shd w:val="clear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26333F"/>
                <w:sz w:val="19"/>
              </w:rPr>
              <w:t xml:space="preserve">Exemple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QUI nettoie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Plongeur, commis, équipe de nuit…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QUOI nettoyer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Plans de travail, trancheuse, chambre froide, plonge…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COMMENT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Manuel, trempage, mousse, machine…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AVEC QUEL PRODUIT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Référence exacte du produit + FT correspondante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À QUELLE FRÉQUENCE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Après chaque usage, quotidien, hebdomadaire…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LES DOSAGES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Concentration exacte selon la FT — jamais « au jugé »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1F3A5F"/>
                <w:sz w:val="19"/>
              </w:rPr>
              <w:t xml:space="preserve">LES TEMPS DE CONTACT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color w:val="4C5B66"/>
                <w:sz w:val="19"/>
              </w:rPr>
              <w:t xml:space="preserve">Durée d'action indiquée par le fabricant</w:t>
            </w:r>
          </w:p>
        </w:tc>
      </w:tr>
    </w:tbl>
    <w:p>
      <w:pPr>
        <w:numPr>
          <w:ilvl w:val="0"/>
          <w:numId w:val="2"/>
        </w:numPr>
        <w:spacing w:after="100" w:line="300" w:lineRule="auto"/>
      </w:pPr>
      <w:r>
        <w:t>Assurer la traçabilité des opérations (fiches de suivi signées et datées).</w:t>
      </w:r>
    </w:p>
    <w:p>
      <w:pPr>
        <w:numPr>
          <w:ilvl w:val="0"/>
          <w:numId w:val="2"/>
        </w:numPr>
        <w:spacing w:after="100" w:line="300" w:lineRule="auto"/>
      </w:pPr>
      <w:r>
        <w:t>Former régulièrement le personnel, y compris les nouveaux arrivants et les extras.</w:t>
      </w:r>
    </w:p>
    <w:p>
      <w:pPr>
        <w:numPr>
          <w:ilvl w:val="0"/>
          <w:numId w:val="2"/>
        </w:numPr>
        <w:spacing w:after="100" w:line="300" w:lineRule="auto"/>
      </w:pPr>
      <w:r>
        <w:t>Vérifier l'efficacité du nettoyage (contrôle visuel, tests si prévus par la procédure).</w:t>
      </w:r>
    </w:p>
    <w:p>
      <w:pPr>
        <w:numPr>
          <w:ilvl w:val="0"/>
          <w:numId w:val="2"/>
        </w:numPr>
        <w:spacing w:after="100" w:line="300" w:lineRule="auto"/>
      </w:pPr>
      <w:r>
        <w:t>Contrôler l'état du matériel : un équipement usé, rayé ou fissuré se nettoie mal et se désinfecte mal.</w:t>
      </w:r>
    </w:p>
    <w:p>
      <w:pPr>
        <w:pStyle w:val="Heading1"/>
      </w:pPr>
      <w:r>
        <w:t>12. ERREURS À ÉVITER</w:t>
      </w:r>
    </w:p>
    <w:tbl>
      <w:tblPr>
        <w:tblW w:w="5000" w:type="pct"/>
        <w:tblBorders>
          <w:top w:val="single" w:color="A8322A" w:sz="12"/>
          <w:left w:val="single" w:color="E5C4BF" w:sz="4"/>
          <w:bottom w:val="single" w:color="A8322A" w:sz="12"/>
          <w:right w:val="single" w:color="E5C4BF" w:sz="4"/>
          <w:insideH w:val="single" w:color="E5C4BF" w:sz="4"/>
          <w:insideV w:val="nil"/>
        </w:tblBorders>
      </w:tblPr>
      <w:tblGrid>
        <w:gridCol w:w="9026"/>
      </w:tblGrid>
      <w:tr>
        <w:trPr>
          <w:tblHeader/>
        </w:trPr>
        <w:tc>
          <w:tcPr>
            <w:tcW w:w="9026" w:type="dxa"/>
            <w:shd w:val="clear" w:fill="A8322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b/>
                <w:color w:val="FFFFFF"/>
                <w:sz w:val="19"/>
              </w:rPr>
              <w:t xml:space="preserve">⚠  CES ERREURS RENDENT LE NETTOYAGE OU LA DÉSINFECTION INEFFICACE — VOIRE DANGEREUX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Désinfecter une surface sale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Ne pas respecter la dilution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Surdoser le produit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Sous-doser le produit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Ne pas respecter le temps de contact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Mélanger des produits chimiques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Utiliser un produit incompatible avec le support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Essuyer avec un chiffon sale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Réutiliser une solution de trempage fortement souillée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Ranger du matériel encore humide</w:t>
            </w:r>
          </w:p>
        </w:tc>
      </w:tr>
      <w:tr>
        <w:tc>
          <w:tcPr>
            <w:tcW w:w="9026" w:type="dxa"/>
            <w:shd w:val="clear" w:fill="F9E8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 w:line="264" w:lineRule="auto"/>
            </w:pPr>
            <w:r>
              <w:rPr>
                <w:color w:val="A8322A"/>
                <w:sz w:val="19"/>
              </w:rPr>
              <w:t xml:space="preserve">✗  Utiliser un produit sans connaître sa Fiche Technique ou sa FDS</w:t>
            </w:r>
          </w:p>
        </w:tc>
      </w:tr>
    </w:tbl>
    <w:p>
      <w:pPr>
        <w:pStyle w:val="Heading1"/>
      </w:pPr>
      <w:r>
        <w:t>13. RÉFÉRENCES ET BONNES PRATIQUES</w:t>
      </w:r>
    </w:p>
    <w:p>
      <w:pPr>
        <w:spacing w:after="200" w:line="300" w:lineRule="auto"/>
      </w:pPr>
      <w:r>
        <w:t xml:space="preserve">Ce mémo s'appuie sur les bonnes pratiques reconnues du secteur :</w:t>
      </w:r>
    </w:p>
    <w:p>
      <w:pPr>
        <w:numPr>
          <w:ilvl w:val="0"/>
          <w:numId w:val="2"/>
        </w:numPr>
        <w:spacing w:after="100" w:line="300" w:lineRule="auto"/>
      </w:pPr>
      <w:r>
        <w:t>Principes HACCP et bonnes pratiques d'hygiène en restauration.</w:t>
      </w:r>
    </w:p>
    <w:p>
      <w:pPr>
        <w:numPr>
          <w:ilvl w:val="0"/>
          <w:numId w:val="2"/>
        </w:numPr>
        <w:spacing w:after="100" w:line="300" w:lineRule="auto"/>
      </w:pPr>
      <w:r>
        <w:t>Guides de bonnes pratiques d'hygiène applicables au secteur CHR.</w:t>
      </w:r>
    </w:p>
    <w:p>
      <w:pPr>
        <w:numPr>
          <w:ilvl w:val="0"/>
          <w:numId w:val="2"/>
        </w:numPr>
        <w:spacing w:after="100" w:line="300" w:lineRule="auto"/>
      </w:pPr>
      <w:r>
        <w:t>Recommandations officielles relatives au nettoyage et à la désinfection.</w:t>
      </w:r>
    </w:p>
    <w:p>
      <w:pPr>
        <w:numPr>
          <w:ilvl w:val="0"/>
          <w:numId w:val="2"/>
        </w:numPr>
        <w:spacing w:after="100" w:line="300" w:lineRule="auto"/>
      </w:pPr>
      <w:r>
        <w:t>Fiches Techniques (FT) et Fiches de Données de Sécurité (FDS) des fabricants.</w:t>
      </w:r>
    </w:p>
    <w:p>
      <w:pPr>
        <w:numPr>
          <w:ilvl w:val="0"/>
          <w:numId w:val="2"/>
        </w:numPr>
        <w:spacing w:after="100" w:line="300" w:lineRule="auto"/>
      </w:pPr>
      <w:r>
        <w:t>Autorisations de Mise sur le Marché (AMM) des désinfectants, lorsqu'elles sont requises.</w:t>
      </w:r>
    </w:p>
    <w:p>
      <w:pPr>
        <w:numPr>
          <w:ilvl w:val="0"/>
          <w:numId w:val="2"/>
        </w:numPr>
        <w:spacing w:after="100" w:line="300" w:lineRule="auto"/>
      </w:pPr>
      <w:r>
        <w:t>Normes d'efficacité des désinfectants, lorsqu'elles sont applicables.</w:t>
      </w:r>
    </w:p>
    <w:p>
      <w:pPr>
        <w:spacing w:before="120"/>
      </w:pPr>
      <w:r>
        <w:rPr>
          <w:i/>
          <w:color w:val="4C5B66"/>
          <w:sz w:val="18"/>
        </w:rPr>
        <w:t>Pour les obligations réglementaires précises : se référer à la réglementation nationale applicable et aux recommandations des autorités compétentes.</w:t>
      </w:r>
    </w:p>
    <w:p>
      <w:pPr>
        <w:spacing w:before="400"/>
      </w:pPr>
      <w:r/>
    </w:p>
    <w:tbl>
      <w:tblPr>
        <w:tblW w:w="5000" w:type="pct"/>
        <w:tblBorders>
          <w:top w:val="single" w:color="1F3A5F" w:sz="8"/>
          <w:left w:val="single" w:color="1F3A5F" w:sz="8"/>
          <w:bottom w:val="single" w:color="1F3A5F" w:sz="8"/>
          <w:right w:val="single" w:color="1F3A5F" w:sz="8"/>
          <w:insideH w:val="nil"/>
          <w:insideV w:val="nil"/>
        </w:tblBorders>
      </w:tblPr>
      <w:tblGrid>
        <w:gridCol w:w="9026"/>
      </w:tblGrid>
      <w:tr>
        <w:trPr>
          <w:cantSplit/>
        </w:trPr>
        <w:tc>
          <w:tcPr>
            <w:tcW w:w="9026" w:type="dxa"/>
            <w:shd w:val="clear" w:fill="1F3A5F"/>
            <w:tcMar>
              <w:top w:w="200" w:type="dxa"/>
              <w:bottom w:w="200" w:type="dxa"/>
            </w:tcMar>
          </w:tcPr>
          <w:p>
            <w:pPr>
              <w:spacing w:before="0" w:after="160"/>
              <w:jc w:val="center"/>
            </w:pPr>
            <w:r>
              <w:rPr>
                <w:b/>
                <w:color w:val="FFFFFF"/>
                <w:spacing w:val="40"/>
                <w:sz w:val="24"/>
              </w:rPr>
              <w:t>MESSAGE CLÉ</w:t>
            </w:r>
          </w:p>
          <w:p>
            <w:pPr>
              <w:spacing w:before="120" w:after="60"/>
              <w:jc w:val="center"/>
            </w:pPr>
            <w:r>
              <w:rPr>
                <w:b/>
                <w:color w:val="FFFFFF"/>
                <w:spacing w:val="20"/>
                <w:sz w:val="28"/>
              </w:rPr>
              <w:t>NETTOYER AVANT DE DÉSINFECTER.</w:t>
            </w:r>
          </w:p>
          <w:p>
            <w:pPr>
              <w:spacing w:before="120" w:after="60"/>
              <w:jc w:val="center"/>
            </w:pPr>
            <w:r>
              <w:rPr>
                <w:b/>
                <w:color w:val="FFFFFF"/>
                <w:spacing w:val="20"/>
                <w:sz w:val="28"/>
              </w:rPr>
              <w:t>RESPECTER LE PRINCIPE TACT.</w:t>
            </w:r>
          </w:p>
          <w:p>
            <w:pPr>
              <w:spacing w:before="120" w:after="60"/>
              <w:jc w:val="center"/>
            </w:pPr>
            <w:r>
              <w:rPr>
                <w:b/>
                <w:color w:val="FFFFFF"/>
                <w:spacing w:val="20"/>
                <w:sz w:val="28"/>
              </w:rPr>
              <w:t>TOUJOURS SE RÉFÉRER À LA FICHE TECHNIQUE, À LA FDS ET À L'AMM DU PRODUIT UTILISÉ.</w:t>
            </w:r>
          </w:p>
        </w:tc>
      </w:tr>
    </w:tbl>
    <w:sectPr>
      <w:headerReference w:type="default" r:id="R322ca101634a4b5d"/>
      <w:footerReference w:type="default" r:id="R2340e966b04a42cc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8894"/>
        <w:sz w:val="17"/>
      </w:rPr>
      <w:fldChar w:fldCharType="begin"/>
    </w:r>
    <w:r>
      <w:rPr>
        <w:color w:val="7A8894"/>
        <w:sz w:val="17"/>
      </w:rPr>
      <w:instrText xml:space="preserve"> PAGE </w:instrText>
    </w:r>
    <w:r>
      <w:rPr>
        <w:color w:val="7A8894"/>
        <w:sz w:val="17"/>
      </w:rPr>
      <w:fldChar w:fldCharType="separate"/>
    </w:r>
    <w:r>
      <w:rPr>
        <w:color w:val="7A8894"/>
        <w:sz w:val="17"/>
      </w:rPr>
      <w:t>1</w:t>
    </w:r>
    <w:r>
      <w:rPr>
        <w:color w:val="7A8894"/>
        <w:sz w:val="17"/>
      </w:rPr>
      <w:fldChar w:fldCharType="end"/>
    </w:r>
    <w:r>
      <w:rPr>
        <w:color w:val="7A8894"/>
        <w:sz w:val="17"/>
      </w:rPr>
      <w:t xml:space="preserve"> / </w:t>
    </w:r>
    <w:r>
      <w:rPr>
        <w:color w:val="7A8894"/>
        <w:sz w:val="17"/>
      </w:rPr>
      <w:fldChar w:fldCharType="begin"/>
    </w:r>
    <w:r>
      <w:rPr>
        <w:color w:val="7A8894"/>
        <w:sz w:val="17"/>
      </w:rPr>
      <w:instrText xml:space="preserve"> NUMPAGES </w:instrText>
    </w:r>
    <w:r>
      <w:rPr>
        <w:color w:val="7A8894"/>
        <w:sz w:val="17"/>
      </w:rPr>
      <w:fldChar w:fldCharType="separate"/>
    </w:r>
    <w:r>
      <w:rPr>
        <w:color w:val="7A8894"/>
        <w:sz w:val="17"/>
      </w:rPr>
      <w:t>2</w:t>
    </w:r>
    <w:r>
      <w:rPr>
        <w:color w:val="7A8894"/>
        <w:sz w:val="17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4D4E2" w:sz="6" w:space="4"/>
      </w:pBdr>
      <w:jc w:val="right"/>
    </w:pPr>
    <w:r>
      <w:rPr>
        <w:rFonts w:ascii="Calibri" w:hAnsi="Calibri"/>
        <w:color w:val="7A8894"/>
        <w:sz w:val="17"/>
      </w:rPr>
      <w:t>MEMO N° 03  ·  HYGIÈNE &amp; SÉCURITÉ ALIMENTAIRE EN CHR  ·  HACCP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520" w:hanging="320"/>
      </w:pPr>
    </w:lvl>
  </w:abstractNum>
  <w:abstractNum w:abstractNumId="2">
    <w:lvl w:ilvl="0">
      <w:numFmt w:val="bullet"/>
      <w:lvlText w:val="•"/>
      <w:lvlJc w:val="left"/>
      <w:pPr>
        <w:ind w:left="520" w:hanging="32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00" w:lineRule="auto"/>
    </w:pPr>
    <w:rPr>
      <w:rFonts w:ascii="Calibri" w:hAnsi="Calibri"/>
      <w:color w:val="26333F"/>
      <w:sz w:val="21"/>
    </w:rPr>
  </w:style>
  <w:style w:type="paragraph" w:styleId="Heading1">
    <w:name w:val="heading 1"/>
    <w:basedOn w:val="Normal"/>
    <w:pPr>
      <w:keepNext/>
      <w:keepLines/>
      <w:pBdr>
        <w:bottom w:val="single" w:color="1F3A5F" w:sz="8" w:space="4"/>
      </w:pBdr>
      <w:spacing w:before="480" w:after="200"/>
      <w:outlineLvl w:val="0"/>
    </w:pPr>
    <w:rPr>
      <w:rFonts w:ascii="Calibri" w:hAnsi="Calibri"/>
      <w:b/>
      <w:color w:val="1F3A5F"/>
      <w:sz w:val="28"/>
    </w:rPr>
  </w:style>
  <w:style w:type="paragraph" w:styleId="Heading2">
    <w:name w:val="heading 2"/>
    <w:basedOn w:val="Normal"/>
    <w:pPr>
      <w:keepNext/>
      <w:keepLines/>
      <w:spacing w:before="280" w:after="120"/>
      <w:outlineLvl w:val="1"/>
    </w:pPr>
    <w:rPr>
      <w:rFonts w:ascii="Calibri" w:hAnsi="Calibri"/>
      <w:b/>
      <w:color w:val="3E7C4F"/>
      <w:sz w:val="24"/>
    </w:rPr>
  </w:style>
  <w:style w:type="paragraph" w:styleId="Caption">
    <w:name w:val="Caption"/>
    <w:basedOn w:val="Normal"/>
    <w:pPr>
      <w:spacing w:before="60" w:after="320"/>
      <w:jc w:val="center"/>
    </w:pPr>
    <w:rPr>
      <w:i/>
      <w:color w:val="7A8894"/>
      <w:sz w:val="19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888b2e2bbe5544f0" /><Relationship Type="http://schemas.openxmlformats.org/officeDocument/2006/relationships/numbering" Target="numbering.xml" Id="R2135ac51a6d940f4" /><Relationship Type="http://schemas.openxmlformats.org/officeDocument/2006/relationships/header" Target="header1.xml" Id="R322ca101634a4b5d" /><Relationship Type="http://schemas.openxmlformats.org/officeDocument/2006/relationships/footer" Target="footer1.xml" Id="R2340e966b04a42cc" /><Relationship Type="http://schemas.openxmlformats.org/officeDocument/2006/relationships/image" Target="media/image.png" Id="R193ff30dbc0f47ba" /><Relationship Type="http://schemas.openxmlformats.org/officeDocument/2006/relationships/image" Target="media/image2.png" Id="R30212ec87f3a4997" /><Relationship Type="http://schemas.openxmlformats.org/officeDocument/2006/relationships/image" Target="media/image3.png" Id="R2b80640ddeed439f" /><Relationship Type="http://schemas.openxmlformats.org/officeDocument/2006/relationships/settings" Target="settings.xml" Id="Re68e0fdb313b4740" /></Relationships>
</file>