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Fiche — Suivi hebdomadaire</w:t>
      </w:r>
    </w:p>
    <w:p>
      <w:pPr>
        <w:pStyle w:val="Heading2"/>
      </w:pPr>
      <w:r>
        <w:t>Consignes</w:t>
      </w:r>
    </w:p>
    <w:p>
      <w:r>
        <w:t>Cette fiche permet le suivi hebdomadaire des opérations de contrôle de la température des équipements et de l'état des plats témoins.</w:t>
      </w:r>
    </w:p>
    <w:p>
      <w:pPr>
        <w:pStyle w:val="Heading2"/>
      </w:pPr>
      <w:r>
        <w:t>Champs à renseigner</w:t>
      </w:r>
    </w:p>
    <w:p>
      <w:pPr>
        <w:pStyle w:val="ListBullet"/>
      </w:pPr>
      <w:r>
        <w:t>semaine de référence ;</w:t>
      </w:r>
    </w:p>
    <w:p>
      <w:pPr>
        <w:pStyle w:val="ListBullet"/>
      </w:pPr>
      <w:r>
        <w:t>température des enceintes réfrigérées (matin / soir) ;</w:t>
      </w:r>
    </w:p>
    <w:p>
      <w:pPr>
        <w:pStyle w:val="ListBullet"/>
      </w:pPr>
      <w:r>
        <w:t>nombre de plats témoins prélevés et conservés ;</w:t>
      </w:r>
    </w:p>
    <w:p>
      <w:pPr>
        <w:pStyle w:val="ListBullet"/>
      </w:pPr>
      <w:r>
        <w:t>température de maintien au moment du service ;</w:t>
      </w:r>
    </w:p>
    <w:p>
      <w:pPr>
        <w:pStyle w:val="ListBullet"/>
      </w:pPr>
      <w:r>
        <w:t>observations et actions correctives éventuelles ;</w:t>
      </w:r>
    </w:p>
    <w:p>
      <w:pPr>
        <w:pStyle w:val="ListBullet"/>
      </w:pPr>
      <w:r>
        <w:t>signature de l'opérateur.</w:t>
      </w:r>
    </w:p>
    <w:p>
      <w:pPr>
        <w:pStyle w:val="Heading2"/>
      </w:pPr>
      <w:r>
        <w:t>Archivage</w:t>
      </w:r>
    </w:p>
    <w:p>
      <w:r>
        <w:t>Conserver les fiches complétées au minimum 6 mois afin de justifier de la conformité lors des contrôles.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