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25" w:line="240" w:lineRule="auto"/>
        <w:jc w:val="center"/>
        <w:outlineLvl w:val="0"/>
        <w:rPr>
          <w:rFonts w:ascii="微软雅黑" w:hAnsi="微软雅黑" w:eastAsia="微软雅黑" w:cs="微软雅黑"/>
          <w:b/>
          <w:bCs/>
          <w:color w:val="2F2F2F"/>
          <w:kern w:val="36"/>
          <w:sz w:val="32"/>
          <w:szCs w:val="32"/>
        </w:rPr>
      </w:pPr>
      <w:bookmarkStart w:id="0" w:name="_Toc523987393"/>
      <w:bookmarkStart w:id="55" w:name="_GoBack"/>
      <w:bookmarkEnd w:id="55"/>
      <w:r>
        <w:rPr>
          <w:rFonts w:hint="eastAsia" w:ascii="微软雅黑" w:hAnsi="微软雅黑" w:eastAsia="微软雅黑" w:cs="微软雅黑"/>
          <w:b/>
          <w:bCs/>
          <w:color w:val="2F2F2F"/>
          <w:kern w:val="36"/>
          <w:sz w:val="32"/>
          <w:szCs w:val="32"/>
        </w:rPr>
        <w:t>目录</w:t>
      </w:r>
      <w:bookmarkEnd w:id="0"/>
    </w:p>
    <w:sdt>
      <w:sdtPr>
        <w:rPr>
          <w:rFonts w:ascii="宋体" w:hAnsi="宋体" w:eastAsia="宋体" w:cstheme="minorBidi"/>
          <w:sz w:val="21"/>
          <w:szCs w:val="22"/>
          <w:lang w:val="en-US" w:eastAsia="zh-CN" w:bidi="ar-SA"/>
        </w:rPr>
        <w:id w:val="14746467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680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_Toc2930_WPSOffice_Level1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172f7e33-a1eb-42a7-937c-baa87b26bc3f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1.梯度</w:t>
              </w:r>
            </w:sdtContent>
          </w:sdt>
          <w:r>
            <w:tab/>
          </w:r>
          <w:bookmarkStart w:id="2" w:name="_Toc2930_WPSOffice_Level1Page"/>
          <w:r>
            <w:t>2</w:t>
          </w:r>
          <w:bookmarkEnd w:id="2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_Toc6055_WPSOffice_Level2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e44ed504-cd81-49d8-8b8d-2ca52270430f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1.1.梯</w:t>
              </w:r>
              <w:r>
                <w:rPr>
                  <w:rFonts w:ascii="微软雅黑" w:hAnsi="微软雅黑" w:eastAsia="微软雅黑" w:cs="微软雅黑"/>
                </w:rPr>
                <w:t>度</w:t>
              </w:r>
              <w:r>
                <w:rPr>
                  <w:rFonts w:hint="eastAsia" w:ascii="微软雅黑" w:hAnsi="微软雅黑" w:eastAsia="微软雅黑" w:cs="微软雅黑"/>
                </w:rPr>
                <w:t>的概念</w:t>
              </w:r>
            </w:sdtContent>
          </w:sdt>
          <w:r>
            <w:tab/>
          </w:r>
          <w:bookmarkStart w:id="3" w:name="_Toc6055_WPSOffice_Level2Page"/>
          <w:r>
            <w:t>2</w:t>
          </w:r>
          <w:bookmarkEnd w:id="3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_Toc16427_WPSOffice_Level2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498c48c7-f619-46c2-9078-99dc604168f4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Arial"/>
                </w:rPr>
                <w:t>1.2.</w:t>
              </w:r>
              <w:r>
                <w:rPr>
                  <w:rFonts w:hint="eastAsia" w:ascii="微软雅黑" w:hAnsi="微软雅黑" w:eastAsia="微软雅黑" w:cs="微软雅黑"/>
                </w:rPr>
                <w:t>梯度下降算法的实现</w:t>
              </w:r>
            </w:sdtContent>
          </w:sdt>
          <w:r>
            <w:tab/>
          </w:r>
          <w:bookmarkStart w:id="4" w:name="_Toc16427_WPSOffice_Level2Page"/>
          <w:r>
            <w:t>2</w:t>
          </w:r>
          <w:bookmarkEnd w:id="4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_Toc21947_WPSOffice_Level2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b867ecd9-5c4f-4019-a4e7-8f4f904c72e6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1.3.</w:t>
              </w:r>
              <w:r>
                <w:rPr>
                  <w:rFonts w:ascii="微软雅黑" w:hAnsi="微软雅黑" w:eastAsia="微软雅黑" w:cstheme="minorBidi"/>
                </w:rPr>
                <w:t>梯度下降树</w:t>
              </w:r>
            </w:sdtContent>
          </w:sdt>
          <w:r>
            <w:tab/>
          </w:r>
          <w:bookmarkStart w:id="5" w:name="_Toc21947_WPSOffice_Level2Page"/>
          <w:r>
            <w:t>4</w:t>
          </w:r>
          <w:bookmarkEnd w:id="5"/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_Toc6055_WPSOffice_Level1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20804dfb-474e-429a-958b-e56cd5d76fb9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2.决策树</w:t>
              </w:r>
            </w:sdtContent>
          </w:sdt>
          <w:r>
            <w:tab/>
          </w:r>
          <w:bookmarkStart w:id="6" w:name="_Toc6055_WPSOffice_Level1Page"/>
          <w:r>
            <w:t>5</w:t>
          </w:r>
          <w:bookmarkEnd w:id="6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_Toc24483_WPSOffice_Level2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da3dd71e-6cef-4508-9765-6fa97b369438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2.1.</w:t>
              </w:r>
              <w:r>
                <w:rPr>
                  <w:rFonts w:ascii="微软雅黑" w:hAnsi="微软雅黑" w:eastAsia="微软雅黑" w:cs="微软雅黑"/>
                </w:rPr>
                <w:t>ID3决策树学习算法</w:t>
              </w:r>
            </w:sdtContent>
          </w:sdt>
          <w:r>
            <w:tab/>
          </w:r>
          <w:bookmarkStart w:id="7" w:name="_Toc24483_WPSOffice_Level2Page"/>
          <w:r>
            <w:t>5</w:t>
          </w:r>
          <w:bookmarkEnd w:id="7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_Toc14932_WPSOffice_Level2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dd53a75c-76d7-4630-9ab8-23da52319c39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2.2.</w:t>
              </w:r>
              <w:r>
                <w:rPr>
                  <w:rFonts w:ascii="微软雅黑" w:hAnsi="微软雅黑" w:eastAsia="微软雅黑" w:cs="微软雅黑"/>
                </w:rPr>
                <w:t>C4.5决策树算法</w:t>
              </w:r>
            </w:sdtContent>
          </w:sdt>
          <w:r>
            <w:tab/>
          </w:r>
          <w:bookmarkStart w:id="8" w:name="_Toc14932_WPSOffice_Level2Page"/>
          <w:r>
            <w:t>5</w:t>
          </w:r>
          <w:bookmarkEnd w:id="8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_Toc30843_WPSOffice_Level2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a8f2f12c-8ca1-480e-ad51-52fef9c1128f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2.3.基尼指数CART决策树算法</w:t>
              </w:r>
            </w:sdtContent>
          </w:sdt>
          <w:r>
            <w:tab/>
          </w:r>
          <w:bookmarkStart w:id="9" w:name="_Toc30843_WPSOffice_Level2Page"/>
          <w:r>
            <w:t>6</w:t>
          </w:r>
          <w:bookmarkEnd w:id="9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_Toc27909_WPSOffice_Level2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8b46c41f-70a8-4f14-9621-2dbbf60029a6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2.4.剪枝处理</w:t>
              </w:r>
            </w:sdtContent>
          </w:sdt>
          <w:r>
            <w:tab/>
          </w:r>
          <w:bookmarkStart w:id="10" w:name="_Toc27909_WPSOffice_Level2Page"/>
          <w:r>
            <w:t>6</w:t>
          </w:r>
          <w:bookmarkEnd w:id="10"/>
          <w:r>
            <w:fldChar w:fldCharType="end"/>
          </w:r>
        </w:p>
        <w:p>
          <w:pPr>
            <w:pStyle w:val="2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_Toc6055_WPSOffice_Level3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af3a067b-30dc-4b87-8b46-8c887abcb3a4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2.4.1.预剪枝 </w:t>
              </w:r>
            </w:sdtContent>
          </w:sdt>
          <w:r>
            <w:tab/>
          </w:r>
          <w:bookmarkStart w:id="11" w:name="_Toc6055_WPSOffice_Level3Page"/>
          <w:r>
            <w:t>6</w:t>
          </w:r>
          <w:bookmarkEnd w:id="11"/>
          <w:r>
            <w:fldChar w:fldCharType="end"/>
          </w:r>
        </w:p>
        <w:p>
          <w:pPr>
            <w:pStyle w:val="2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_Toc16427_WPSOffice_Level3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c943136b-b5fe-4a9f-bc97-e5a1d955f8f7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2.4.2.后剪枝</w:t>
              </w:r>
            </w:sdtContent>
          </w:sdt>
          <w:r>
            <w:tab/>
          </w:r>
          <w:bookmarkStart w:id="12" w:name="_Toc16427_WPSOffice_Level3Page"/>
          <w:r>
            <w:t>6</w:t>
          </w:r>
          <w:bookmarkEnd w:id="12"/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_Toc16427_WPSOffice_Level1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8e40fdea-d496-4091-9a93-6984252b287a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3.偏差与方差</w:t>
              </w:r>
            </w:sdtContent>
          </w:sdt>
          <w:r>
            <w:tab/>
          </w:r>
          <w:bookmarkStart w:id="13" w:name="_Toc16427_WPSOffice_Level1Page"/>
          <w:r>
            <w:t>6</w:t>
          </w:r>
          <w:bookmarkEnd w:id="13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_Toc30040_WPSOffice_Level2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7be51964-928d-44e1-b1c0-2ed2bc19c313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3.1.导致偏差和方差的原因</w:t>
              </w:r>
            </w:sdtContent>
          </w:sdt>
          <w:r>
            <w:tab/>
          </w:r>
          <w:bookmarkStart w:id="14" w:name="_Toc30040_WPSOffice_Level2Page"/>
          <w:r>
            <w:t>7</w:t>
          </w:r>
          <w:bookmarkEnd w:id="14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_Toc4543_WPSOffice_Level2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48821ceb-937f-46db-a17f-17e16466fb1b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3.2.深度学习中的偏差与方差</w:t>
              </w:r>
            </w:sdtContent>
          </w:sdt>
          <w:r>
            <w:tab/>
          </w:r>
          <w:bookmarkStart w:id="15" w:name="_Toc4543_WPSOffice_Level2Page"/>
          <w:r>
            <w:t>7</w:t>
          </w:r>
          <w:bookmarkEnd w:id="15"/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_Toc21947_WPSOffice_Level1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db54ed72-3d81-41f0-a81d-128e65dc2475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4.生成模型与判别模型</w:t>
              </w:r>
            </w:sdtContent>
          </w:sdt>
          <w:r>
            <w:tab/>
          </w:r>
          <w:bookmarkStart w:id="16" w:name="_Toc21947_WPSOffice_Level1Page"/>
          <w:r>
            <w:t>7</w:t>
          </w:r>
          <w:bookmarkEnd w:id="16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_Toc9945_WPSOffice_Level2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22a56b5d-4dfa-4613-ab4c-650b08878656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4.1.两者之间的联系</w:t>
              </w:r>
            </w:sdtContent>
          </w:sdt>
          <w:r>
            <w:tab/>
          </w:r>
          <w:bookmarkStart w:id="17" w:name="_Toc9945_WPSOffice_Level2Page"/>
          <w:r>
            <w:t>8</w:t>
          </w:r>
          <w:bookmarkEnd w:id="17"/>
          <w:r>
            <w:fldChar w:fldCharType="end"/>
          </w:r>
        </w:p>
        <w:p>
          <w:pPr>
            <w:pStyle w:val="28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_Toc18763_WPSOffice_Level2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8098d67a-8f73-4547-b039-a5c616e0fbf5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4.2.常见模型</w:t>
              </w:r>
            </w:sdtContent>
          </w:sdt>
          <w:r>
            <w:tab/>
          </w:r>
          <w:bookmarkStart w:id="18" w:name="_Toc18763_WPSOffice_Level2Page"/>
          <w:r>
            <w:t>8</w:t>
          </w:r>
          <w:bookmarkEnd w:id="18"/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_Toc24483_WPSOffice_Level1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b87c7120-59e0-4bd4-8c70-100132ff9ac8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5.先验概率与后验概率</w:t>
              </w:r>
            </w:sdtContent>
          </w:sdt>
          <w:r>
            <w:tab/>
          </w:r>
          <w:bookmarkStart w:id="19" w:name="_Toc24483_WPSOffice_Level1Page"/>
          <w:r>
            <w:t>8</w:t>
          </w:r>
          <w:bookmarkEnd w:id="19"/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_Toc14932_WPSOffice_Level1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5d87f44b-326e-41bd-8bd3-b2bb616cdc80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6.Bagging vs Boosting</w:t>
              </w:r>
            </w:sdtContent>
          </w:sdt>
          <w:r>
            <w:tab/>
          </w:r>
          <w:bookmarkStart w:id="20" w:name="_Toc14932_WPSOffice_Level1Page"/>
          <w:r>
            <w:t>9</w:t>
          </w:r>
          <w:bookmarkEnd w:id="20"/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_Toc30843_WPSOffice_Level1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0bf82e65-eafc-4501-84bd-abbdedb47d3f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7.信息熵、KL 散度（相对熵）与交叉熵</w:t>
              </w:r>
            </w:sdtContent>
          </w:sdt>
          <w:r>
            <w:tab/>
          </w:r>
          <w:bookmarkStart w:id="21" w:name="_Toc30843_WPSOffice_Level1Page"/>
          <w:r>
            <w:t>9</w:t>
          </w:r>
          <w:bookmarkEnd w:id="21"/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  <w:rPr>
              <w:rFonts w:hint="eastAsia" w:ascii="微软雅黑" w:hAnsi="微软雅黑" w:eastAsia="微软雅黑" w:cs="微软雅黑"/>
              <w:b/>
              <w:bCs/>
              <w:color w:val="2F2F2F"/>
              <w:kern w:val="36"/>
              <w:sz w:val="24"/>
              <w:szCs w:val="24"/>
            </w:rPr>
          </w:pPr>
          <w:r>
            <w:fldChar w:fldCharType="begin"/>
          </w:r>
          <w:r>
            <w:instrText xml:space="preserve"> HYPERLINK \l _Toc27909_WPSOffice_Level1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  <w:id w:val="147464679"/>
              <w:placeholder>
                <w:docPart w:val="{c0baf843-5be6-4ae8-8c28-533cf5af8dae}"/>
              </w:placeholder>
            </w:sdtPr>
            <w:sdtEnd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8. 一个完整的机器学习项目流程</w:t>
              </w:r>
            </w:sdtContent>
          </w:sdt>
          <w:r>
            <w:tab/>
          </w:r>
          <w:bookmarkStart w:id="22" w:name="_Toc27909_WPSOffice_Level1Page"/>
          <w:r>
            <w:t>10</w:t>
          </w:r>
          <w:bookmarkEnd w:id="22"/>
          <w:r>
            <w:fldChar w:fldCharType="end"/>
          </w:r>
          <w:bookmarkEnd w:id="1"/>
        </w:p>
      </w:sdtContent>
    </w:sdt>
    <w:p>
      <w:p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color w:val="2F2F2F"/>
          <w:kern w:val="36"/>
          <w:sz w:val="39"/>
          <w:szCs w:val="39"/>
        </w:rPr>
      </w:pPr>
    </w:p>
    <w:p>
      <w:p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color w:val="2F2F2F"/>
          <w:kern w:val="36"/>
          <w:sz w:val="39"/>
          <w:szCs w:val="39"/>
        </w:rPr>
      </w:pPr>
    </w:p>
    <w:p>
      <w:p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color w:val="2F2F2F"/>
          <w:kern w:val="36"/>
          <w:sz w:val="39"/>
          <w:szCs w:val="39"/>
        </w:rPr>
      </w:pPr>
    </w:p>
    <w:p>
      <w:p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color w:val="2F2F2F"/>
          <w:kern w:val="36"/>
          <w:sz w:val="39"/>
          <w:szCs w:val="39"/>
        </w:rPr>
      </w:pPr>
    </w:p>
    <w:p>
      <w:p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color w:val="2F2F2F"/>
          <w:kern w:val="36"/>
          <w:sz w:val="39"/>
          <w:szCs w:val="39"/>
        </w:rPr>
      </w:pPr>
    </w:p>
    <w:p>
      <w:pPr>
        <w:shd w:val="clear" w:color="auto" w:fill="FFFFFF"/>
        <w:spacing w:after="225" w:line="240" w:lineRule="auto"/>
        <w:outlineLvl w:val="0"/>
        <w:rPr>
          <w:rFonts w:hint="eastAsia" w:ascii="微软雅黑" w:hAnsi="微软雅黑" w:eastAsia="微软雅黑" w:cs="微软雅黑"/>
          <w:b/>
          <w:bCs/>
          <w:color w:val="2F2F2F"/>
          <w:kern w:val="36"/>
          <w:sz w:val="28"/>
          <w:szCs w:val="28"/>
          <w:lang w:val="en-US" w:eastAsia="zh-CN"/>
        </w:rPr>
      </w:pPr>
      <w:bookmarkStart w:id="23" w:name="_Toc523987396"/>
    </w:p>
    <w:p>
      <w:p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color w:val="2F2F2F"/>
          <w:kern w:val="36"/>
          <w:sz w:val="28"/>
          <w:szCs w:val="28"/>
        </w:rPr>
      </w:pPr>
      <w:bookmarkStart w:id="24" w:name="_Toc2930_WPSOffice_Level1"/>
      <w:r>
        <w:rPr>
          <w:rFonts w:hint="eastAsia" w:ascii="微软雅黑" w:hAnsi="微软雅黑" w:eastAsia="微软雅黑" w:cs="微软雅黑"/>
          <w:b/>
          <w:bCs/>
          <w:color w:val="2F2F2F"/>
          <w:kern w:val="36"/>
          <w:sz w:val="28"/>
          <w:szCs w:val="2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2F2F2F"/>
          <w:kern w:val="36"/>
          <w:sz w:val="28"/>
          <w:szCs w:val="28"/>
        </w:rPr>
        <w:t>梯度</w:t>
      </w:r>
      <w:bookmarkEnd w:id="24"/>
    </w:p>
    <w:p>
      <w:pPr>
        <w:shd w:val="clear" w:color="auto" w:fill="FFFFFF"/>
        <w:spacing w:after="225" w:line="240" w:lineRule="auto"/>
        <w:outlineLvl w:val="0"/>
        <w:rPr>
          <w:rFonts w:ascii="Arial" w:hAnsi="Arial" w:eastAsia="Times New Roman" w:cs="Arial"/>
          <w:b/>
          <w:bCs/>
          <w:color w:val="2F2F2F"/>
          <w:kern w:val="36"/>
          <w:sz w:val="28"/>
          <w:szCs w:val="28"/>
        </w:rPr>
      </w:pPr>
      <w:bookmarkStart w:id="25" w:name="_Toc6055_WPSOffice_Level2"/>
      <w:r>
        <w:rPr>
          <w:rFonts w:hint="eastAsia" w:ascii="微软雅黑" w:hAnsi="微软雅黑" w:eastAsia="微软雅黑" w:cs="微软雅黑"/>
          <w:b/>
          <w:bCs/>
          <w:color w:val="2F2F2F"/>
          <w:kern w:val="36"/>
          <w:sz w:val="28"/>
          <w:szCs w:val="2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bCs/>
          <w:color w:val="2F2F2F"/>
          <w:kern w:val="36"/>
          <w:sz w:val="28"/>
          <w:szCs w:val="28"/>
        </w:rPr>
        <w:t>梯</w:t>
      </w:r>
      <w:r>
        <w:rPr>
          <w:rFonts w:ascii="微软雅黑" w:hAnsi="微软雅黑" w:eastAsia="微软雅黑" w:cs="微软雅黑"/>
          <w:b/>
          <w:bCs/>
          <w:color w:val="2F2F2F"/>
          <w:kern w:val="36"/>
          <w:sz w:val="28"/>
          <w:szCs w:val="28"/>
        </w:rPr>
        <w:t>度</w:t>
      </w:r>
      <w:r>
        <w:rPr>
          <w:rFonts w:hint="eastAsia" w:ascii="微软雅黑" w:hAnsi="微软雅黑" w:eastAsia="微软雅黑" w:cs="微软雅黑"/>
          <w:b/>
          <w:bCs/>
          <w:color w:val="2F2F2F"/>
          <w:kern w:val="36"/>
          <w:sz w:val="28"/>
          <w:szCs w:val="28"/>
        </w:rPr>
        <w:t>的概念</w:t>
      </w:r>
      <w:bookmarkEnd w:id="23"/>
      <w:bookmarkEnd w:id="25"/>
    </w:p>
    <w:p>
      <w:pPr>
        <w:shd w:val="clear" w:color="auto" w:fill="FFFFFF"/>
        <w:spacing w:after="375" w:line="240" w:lineRule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梯度是微积分中一个很重要的概念，梯度的意义如下：在单变量的函数中，梯度其实就是函数的微分，代表着函数在某个给定点的切线的斜率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在多变量函数中，梯度是一个向量，向量有方向，梯度的方向就指出了函数在给定点的上升最快的方向</w:t>
      </w:r>
    </w:p>
    <w:p>
      <w:pPr>
        <w:shd w:val="clear" w:color="auto" w:fill="FFFFFF"/>
        <w:spacing w:before="100" w:beforeAutospacing="1" w:after="100" w:afterAutospacing="1" w:line="450" w:lineRule="atLeast"/>
        <w:jc w:val="center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inline distT="0" distB="0" distL="0" distR="0">
            <wp:extent cx="3646805" cy="36449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450" w:lineRule="atLeas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此公式的意义是：J是关于Θ的一个函数，我们当前所处的位置为Θ0点，要从这个点走到J的最小值点，也就是山底。首先我们先确定前进的方向，也就是梯度的反向，然后走一段距离的步长，也就是α，走完这个段步长，就到达了Θ1这个点！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 w:line="450" w:lineRule="atLeast"/>
        <w:ind w:left="-60" w:left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为什么要梯度要乘以一个负号？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梯度前加一个负号，就意味着朝着梯度相反的方向前进！我们在前文提到，梯度的方向实际就是函数在此点上升最快的方向！而我们需要朝着下降最快的方向走，自然就是负的梯度的方向，所以此处需要加上负号</w:t>
      </w:r>
    </w:p>
    <w:p>
      <w:pPr>
        <w:pStyle w:val="2"/>
        <w:shd w:val="clear" w:color="auto" w:fill="FFFFFF"/>
        <w:spacing w:before="0" w:beforeAutospacing="0" w:after="225" w:afterAutospacing="0"/>
        <w:rPr>
          <w:rFonts w:ascii="微软雅黑" w:hAnsi="微软雅黑" w:eastAsia="微软雅黑" w:cs="Arial"/>
          <w:color w:val="2F2F2F"/>
          <w:sz w:val="28"/>
          <w:szCs w:val="28"/>
        </w:rPr>
      </w:pPr>
      <w:bookmarkStart w:id="26" w:name="_Toc16427_WPSOffice_Level2"/>
      <w:r>
        <w:rPr>
          <w:rFonts w:hint="eastAsia" w:ascii="微软雅黑" w:hAnsi="微软雅黑" w:eastAsia="微软雅黑" w:cs="Arial"/>
          <w:color w:val="2F2F2F"/>
          <w:sz w:val="28"/>
          <w:szCs w:val="28"/>
          <w:lang w:val="en-US" w:eastAsia="zh-CN"/>
        </w:rPr>
        <w:t>1.2.</w:t>
      </w:r>
      <w:r>
        <w:rPr>
          <w:rFonts w:hint="eastAsia" w:ascii="微软雅黑" w:hAnsi="微软雅黑" w:eastAsia="微软雅黑" w:cs="微软雅黑"/>
          <w:color w:val="2F2F2F"/>
          <w:sz w:val="28"/>
          <w:szCs w:val="28"/>
        </w:rPr>
        <w:t>梯度下降算法的实现</w:t>
      </w:r>
      <w:bookmarkEnd w:id="26"/>
    </w:p>
    <w:p>
      <w:pPr>
        <w:pStyle w:val="10"/>
        <w:shd w:val="clear" w:color="auto" w:fill="FFFFFF"/>
        <w:spacing w:before="0" w:beforeAutospacing="0" w:after="375" w:afterAutospacing="0"/>
        <w:rPr>
          <w:rFonts w:ascii="微软雅黑" w:hAnsi="微软雅黑" w:eastAsia="微软雅黑" w:cs="微软雅黑"/>
          <w:color w:val="2F2F2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下面我们将用</w:t>
      </w:r>
      <w:r>
        <w:rPr>
          <w:rFonts w:ascii="Arial" w:hAnsi="Arial" w:cs="Arial"/>
          <w:color w:val="2F2F2F"/>
          <w:sz w:val="21"/>
          <w:szCs w:val="21"/>
        </w:rPr>
        <w:t>python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实现一个简单的梯度下降算法。场景是一个简单的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"https://link.jianshu.com/?t=https%3A%2F%2Fen.wikipedia.org%2Fwiki%2FLinear_regression" \t "_blank" </w:instrText>
      </w:r>
      <w:r>
        <w:rPr>
          <w:sz w:val="21"/>
          <w:szCs w:val="21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3194D0"/>
          <w:sz w:val="21"/>
          <w:szCs w:val="21"/>
        </w:rPr>
        <w:t>线性回归</w:t>
      </w:r>
      <w:r>
        <w:rPr>
          <w:rStyle w:val="13"/>
          <w:rFonts w:hint="eastAsia" w:ascii="微软雅黑" w:hAnsi="微软雅黑" w:eastAsia="微软雅黑" w:cs="微软雅黑"/>
          <w:color w:val="3194D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的例子：假设现在我们有一系列的点，如下图所示</w:t>
      </w:r>
    </w:p>
    <w:p>
      <w:pPr>
        <w:pStyle w:val="10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2F2F2F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74135" cy="286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655" cy="28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我们将用梯度下降法来拟合出这条直线！首先，我们需要定义一个代价函数，在此我们选用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"https://link.jianshu.com/?t=https%3A%2F%2Fen.wikipedia.org%2Fwiki%2FLeast_squares" \t "_blank" </w:instrText>
      </w:r>
      <w:r>
        <w:rPr>
          <w:sz w:val="21"/>
          <w:szCs w:val="21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3194D0"/>
          <w:sz w:val="21"/>
          <w:szCs w:val="21"/>
        </w:rPr>
        <w:t>均方误差代价函数</w:t>
      </w:r>
      <w:r>
        <w:rPr>
          <w:rStyle w:val="13"/>
          <w:rFonts w:hint="eastAsia" w:ascii="微软雅黑" w:hAnsi="微软雅黑" w:eastAsia="微软雅黑" w:cs="微软雅黑"/>
          <w:color w:val="3194D0"/>
          <w:sz w:val="21"/>
          <w:szCs w:val="21"/>
        </w:rPr>
        <w:fldChar w:fldCharType="end"/>
      </w:r>
    </w:p>
    <w:p>
      <w:pPr>
        <w:pStyle w:val="10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2F2F2F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691255" cy="8426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802" cy="8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75" w:line="240" w:lineRule="auto"/>
        <w:rPr>
          <w:rFonts w:hint="eastAsia" w:ascii="微软雅黑" w:hAnsi="微软雅黑" w:eastAsia="微软雅黑" w:cs="微软雅黑"/>
          <w:color w:val="2F2F2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此公式</w:t>
      </w:r>
      <w:r>
        <w:rPr>
          <w:rFonts w:ascii="微软雅黑" w:hAnsi="微软雅黑" w:eastAsia="微软雅黑" w:cs="微软雅黑"/>
          <w:color w:val="2F2F2F"/>
          <w:sz w:val="21"/>
          <w:szCs w:val="21"/>
        </w:rPr>
        <w:t>中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eastAsia="Times New Roman" w:cs="Arial"/>
          <w:color w:val="2F2F2F"/>
          <w:sz w:val="21"/>
          <w:szCs w:val="21"/>
        </w:rPr>
      </w:pPr>
      <w:r>
        <w:rPr>
          <w:rFonts w:ascii="Arial" w:hAnsi="Arial" w:eastAsia="Times New Roman" w:cs="Arial"/>
          <w:color w:val="2F2F2F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是数据集中点的个</w:t>
      </w:r>
      <w:r>
        <w:rPr>
          <w:rFonts w:ascii="微软雅黑" w:hAnsi="微软雅黑" w:eastAsia="微软雅黑" w:cs="微软雅黑"/>
          <w:color w:val="2F2F2F"/>
          <w:sz w:val="21"/>
          <w:szCs w:val="21"/>
        </w:rPr>
        <w:t>数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eastAsia="Times New Roman" w:cs="Arial"/>
          <w:color w:val="2F2F2F"/>
          <w:sz w:val="21"/>
          <w:szCs w:val="21"/>
        </w:rPr>
      </w:pPr>
      <w:r>
        <w:rPr>
          <w:rFonts w:ascii="Arial" w:hAnsi="Arial" w:eastAsia="Times New Roman" w:cs="Arial"/>
          <w:color w:val="2F2F2F"/>
          <w:sz w:val="21"/>
          <w:szCs w:val="21"/>
        </w:rPr>
        <w:t>½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是一个常量，这样是为了在求梯度的时候，二次方乘下来就和这里的</w:t>
      </w:r>
      <w:r>
        <w:rPr>
          <w:rFonts w:ascii="Arial" w:hAnsi="Arial" w:eastAsia="Times New Roman" w:cs="Arial"/>
          <w:color w:val="2F2F2F"/>
          <w:sz w:val="21"/>
          <w:szCs w:val="21"/>
        </w:rPr>
        <w:t>½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抵消了，自然就没有多余的常数系数，方便后续的计算，同时对结果不会有影</w:t>
      </w:r>
      <w:r>
        <w:rPr>
          <w:rFonts w:ascii="微软雅黑" w:hAnsi="微软雅黑" w:eastAsia="微软雅黑" w:cs="微软雅黑"/>
          <w:color w:val="2F2F2F"/>
          <w:sz w:val="21"/>
          <w:szCs w:val="21"/>
        </w:rPr>
        <w:t>响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eastAsia="Times New Roman" w:cs="Arial"/>
          <w:color w:val="2F2F2F"/>
          <w:sz w:val="21"/>
          <w:szCs w:val="21"/>
        </w:rPr>
      </w:pPr>
      <w:r>
        <w:rPr>
          <w:rFonts w:ascii="Arial" w:hAnsi="Arial" w:eastAsia="Times New Roman" w:cs="Arial"/>
          <w:color w:val="2F2F2F"/>
          <w:sz w:val="21"/>
          <w:szCs w:val="21"/>
        </w:rPr>
        <w:t xml:space="preserve">y 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是数据集中每个点的真实</w:t>
      </w:r>
      <w:r>
        <w:rPr>
          <w:rFonts w:ascii="Arial" w:hAnsi="Arial" w:eastAsia="Times New Roman" w:cs="Arial"/>
          <w:color w:val="2F2F2F"/>
          <w:sz w:val="21"/>
          <w:szCs w:val="21"/>
        </w:rPr>
        <w:t>y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坐标的</w:t>
      </w:r>
      <w:r>
        <w:rPr>
          <w:rFonts w:ascii="微软雅黑" w:hAnsi="微软雅黑" w:eastAsia="微软雅黑" w:cs="微软雅黑"/>
          <w:color w:val="2F2F2F"/>
          <w:sz w:val="21"/>
          <w:szCs w:val="21"/>
        </w:rPr>
        <w:t>值</w:t>
      </w:r>
    </w:p>
    <w:p>
      <w:pPr>
        <w:numPr>
          <w:ilvl w:val="0"/>
          <w:numId w:val="1"/>
        </w:numPr>
        <w:shd w:val="clear" w:color="auto" w:fill="FFFFFF"/>
        <w:spacing w:after="375" w:line="450" w:lineRule="atLeast"/>
        <w:ind w:left="300"/>
        <w:rPr>
          <w:rFonts w:ascii="Arial" w:hAnsi="Arial" w:eastAsia="Times New Roman" w:cs="Arial"/>
          <w:color w:val="2F2F2F"/>
          <w:sz w:val="21"/>
          <w:szCs w:val="21"/>
        </w:rPr>
      </w:pPr>
      <w:r>
        <w:rPr>
          <w:rFonts w:ascii="Arial" w:hAnsi="Arial" w:eastAsia="Times New Roman" w:cs="Arial"/>
          <w:color w:val="2F2F2F"/>
          <w:sz w:val="21"/>
          <w:szCs w:val="21"/>
        </w:rPr>
        <w:t xml:space="preserve">h 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是我们的预测函数，根据每一个输入</w:t>
      </w:r>
      <w:r>
        <w:rPr>
          <w:rFonts w:ascii="Arial" w:hAnsi="Arial" w:eastAsia="Times New Roman" w:cs="Arial"/>
          <w:color w:val="2F2F2F"/>
          <w:sz w:val="21"/>
          <w:szCs w:val="21"/>
        </w:rPr>
        <w:t>x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，根据</w:t>
      </w:r>
      <w:r>
        <w:rPr>
          <w:rFonts w:ascii="Arial" w:hAnsi="Arial" w:eastAsia="Times New Roman" w:cs="Arial"/>
          <w:color w:val="2F2F2F"/>
          <w:sz w:val="21"/>
          <w:szCs w:val="21"/>
        </w:rPr>
        <w:t xml:space="preserve">Θ 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计算得到预测的</w:t>
      </w:r>
      <w:r>
        <w:rPr>
          <w:rFonts w:ascii="Arial" w:hAnsi="Arial" w:eastAsia="Times New Roman" w:cs="Arial"/>
          <w:color w:val="2F2F2F"/>
          <w:sz w:val="21"/>
          <w:szCs w:val="21"/>
        </w:rPr>
        <w:t>y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</w:rPr>
        <w:t>值，</w:t>
      </w:r>
      <w:r>
        <w:rPr>
          <w:rFonts w:ascii="微软雅黑" w:hAnsi="微软雅黑" w:eastAsia="微软雅黑" w:cs="微软雅黑"/>
          <w:color w:val="2F2F2F"/>
          <w:sz w:val="21"/>
          <w:szCs w:val="21"/>
        </w:rPr>
        <w:t>即</w:t>
      </w:r>
    </w:p>
    <w:p>
      <w:pPr>
        <w:shd w:val="clear" w:color="auto" w:fill="FFFFFF"/>
        <w:spacing w:after="375" w:line="450" w:lineRule="atLeast"/>
        <w:ind w:left="-60"/>
        <w:jc w:val="center"/>
        <w:rPr>
          <w:rFonts w:ascii="Arial" w:hAnsi="Arial" w:eastAsia="Times New Roman" w:cs="Arial"/>
          <w:color w:val="2F2F2F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1242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 w:cs="微软雅黑"/>
          <w:color w:val="2F2F2F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2F2F2F"/>
          <w:sz w:val="21"/>
          <w:szCs w:val="21"/>
          <w:shd w:val="clear" w:color="auto" w:fill="FFFFFF"/>
        </w:rPr>
        <w:t>我们有两个变量，为了对这个公式进行矩阵化，我们可以给每一个点x增加一维，这一维的值固定为1，这一维将会乘到Θ0上。这样就方便我们统一矩阵化的计</w:t>
      </w:r>
      <w:r>
        <w:rPr>
          <w:rFonts w:hint="eastAsia" w:ascii="微软雅黑" w:hAnsi="微软雅黑" w:eastAsia="微软雅黑" w:cs="微软雅黑"/>
          <w:color w:val="2F2F2F"/>
          <w:sz w:val="21"/>
          <w:szCs w:val="21"/>
          <w:shd w:val="clear" w:color="auto" w:fill="FFFFFF"/>
        </w:rPr>
        <w:t>算</w:t>
      </w:r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 w:cs="Arial"/>
          <w:color w:val="2F2F2F"/>
          <w:sz w:val="24"/>
          <w:szCs w:val="24"/>
        </w:rPr>
      </w:pPr>
      <w:r>
        <w:drawing>
          <wp:inline distT="0" distB="0" distL="0" distR="0">
            <wp:extent cx="571500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/>
          <w:b/>
          <w:color w:val="000000"/>
          <w:sz w:val="28"/>
          <w:szCs w:val="28"/>
          <w:shd w:val="clear" w:color="auto" w:fill="FFFFFF"/>
        </w:rPr>
      </w:pPr>
      <w:bookmarkStart w:id="27" w:name="_Toc21947_WPSOffice_Level2"/>
      <w:r>
        <w:rPr>
          <w:rFonts w:hint="eastAsia" w:ascii="微软雅黑" w:hAnsi="微软雅黑" w:eastAsia="微软雅黑"/>
          <w:b/>
          <w:color w:val="000000"/>
          <w:sz w:val="28"/>
          <w:szCs w:val="28"/>
          <w:shd w:val="clear" w:color="auto" w:fill="FFFFFF"/>
          <w:lang w:val="en-US" w:eastAsia="zh-CN"/>
        </w:rPr>
        <w:t>1.3.</w:t>
      </w:r>
      <w:r>
        <w:rPr>
          <w:rFonts w:ascii="微软雅黑" w:hAnsi="微软雅黑" w:eastAsia="微软雅黑"/>
          <w:b/>
          <w:color w:val="000000"/>
          <w:sz w:val="28"/>
          <w:szCs w:val="28"/>
          <w:shd w:val="clear" w:color="auto" w:fill="FFFFFF"/>
        </w:rPr>
        <w:t>梯度下降树</w:t>
      </w:r>
      <w:bookmarkEnd w:id="27"/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gbdt全称梯度下降树，在传统机器学习算法里面是对真实分布拟合的最好的几种算法之一，在前几年深度学习还没有大行其道之前，gbdt在各种竞赛是大放异彩。原因大概有几个，一是效果确实挺不错。二是即可以用于分类也可以用于回归。三是可以筛选特征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。</w:t>
      </w:r>
    </w:p>
    <w:p>
      <w:pPr>
        <w:shd w:val="clear" w:color="auto" w:fill="FFFFFF"/>
        <w:wordWrap w:val="0"/>
        <w:spacing w:after="0" w:line="240" w:lineRule="auto"/>
        <w:rPr>
          <w:rFonts w:ascii="Verdana" w:hAnsi="Verdana" w:eastAsia="Times New Roman" w:cs="Times New Roman"/>
          <w:b/>
          <w:color w:val="auto"/>
          <w:sz w:val="21"/>
          <w:szCs w:val="21"/>
        </w:rPr>
      </w:pPr>
      <w:r>
        <w:rPr>
          <w:rFonts w:ascii="Verdana" w:hAnsi="Verdana" w:eastAsia="Times New Roman" w:cs="Times New Roman"/>
          <w:b/>
          <w:color w:val="auto"/>
          <w:sz w:val="21"/>
          <w:szCs w:val="21"/>
        </w:rPr>
        <w:t> </w:t>
      </w:r>
      <w:r>
        <w:rPr>
          <w:rFonts w:ascii="Verdana" w:hAnsi="Verdana" w:eastAsia="Times New Roman" w:cs="Times New Roman"/>
          <w:b/>
          <w:bCs/>
          <w:color w:val="auto"/>
          <w:sz w:val="21"/>
          <w:szCs w:val="21"/>
        </w:rPr>
        <w:t>gbdt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的训练过</w:t>
      </w:r>
      <w:r>
        <w:rPr>
          <w:rFonts w:ascii="微软雅黑" w:hAnsi="微软雅黑" w:eastAsia="微软雅黑" w:cs="微软雅黑"/>
          <w:b/>
          <w:bCs/>
          <w:color w:val="auto"/>
          <w:sz w:val="21"/>
          <w:szCs w:val="21"/>
        </w:rPr>
        <w:t>程</w:t>
      </w:r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 w:cs="Arial"/>
          <w:color w:val="auto"/>
          <w:sz w:val="21"/>
          <w:szCs w:val="21"/>
        </w:rPr>
      </w:pPr>
      <w:r>
        <w:rPr>
          <w:color w:val="auto"/>
          <w:sz w:val="21"/>
          <w:szCs w:val="21"/>
        </w:rPr>
        <w:drawing>
          <wp:inline distT="0" distB="0" distL="0" distR="0">
            <wp:extent cx="5942330" cy="1844040"/>
            <wp:effectExtent l="0" t="0" r="1270" b="3810"/>
            <wp:docPr id="12" name="Picture 12" descr="https://images2017.cnblogs.com/blog/666027/201710/666027-20171030203845058-619624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images2017.cnblogs.com/blog/666027/201710/666027-20171030203845058-6196246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260" cy="18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gbdt通过多轮迭代,每轮迭代产生一个弱分类器，每个分类器在上一轮分类器的</w:t>
      </w:r>
      <w:r>
        <w:rPr>
          <w:rStyle w:val="12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残差</w:t>
      </w: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基础上进行训练。对弱分类器的要求一般是足够简单，并且是低方差和高偏差的。因为训练的过程是通过降低偏差来不断提高最终分类器的精度</w:t>
      </w:r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弱分类器一般会选择为CART TREE（也就是分类回归树）。由于上述高偏差和简单的要求 每个分类回归树的深度不会很深。最终的总分类器 是将每轮训练得到的弱分类器加权求和得到的（也就是加法模型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）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drawing>
          <wp:inline distT="0" distB="0" distL="0" distR="0">
            <wp:extent cx="2192655" cy="651510"/>
            <wp:effectExtent l="0" t="0" r="0" b="0"/>
            <wp:docPr id="13" name="Picture 13" descr="C:\Users\16703\AppData\Roaming\Tencent\Users\1670306646\QQ\WinTemp\RichOle\SE@3}YUZYP666)IH)}Y[]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16703\AppData\Roaming\Tencent\Users\1670306646\QQ\WinTemp\RichOle\SE@3}YUZYP666)IH)}Y[]B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750" cy="6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微软雅黑" w:hAnsi="微软雅黑" w:eastAsia="微软雅黑" w:cs="Times New Roman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 模型一共训练M轮，每轮产生一个弱分类器 </w:t>
      </w:r>
      <w:r>
        <w:rPr>
          <w:rStyle w:val="23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T</w:t>
      </w:r>
      <w:r>
        <w:rPr>
          <w:rStyle w:val="24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(</w:t>
      </w:r>
      <w:r>
        <w:rPr>
          <w:rStyle w:val="23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x</w:t>
      </w:r>
      <w:r>
        <w:rPr>
          <w:rStyle w:val="24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;</w:t>
      </w:r>
      <w:r>
        <w:rPr>
          <w:rStyle w:val="23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θm</w:t>
      </w:r>
      <w:r>
        <w:rPr>
          <w:rStyle w:val="24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)</w:t>
      </w: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。弱分类器的</w:t>
      </w:r>
      <w:r>
        <w:rPr>
          <w:rStyle w:val="12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损失函</w:t>
      </w:r>
      <w:r>
        <w:rPr>
          <w:rStyle w:val="12"/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drawing>
          <wp:inline distT="0" distB="0" distL="0" distR="0">
            <wp:extent cx="4463415" cy="624840"/>
            <wp:effectExtent l="0" t="0" r="0" b="3810"/>
            <wp:docPr id="14" name="Picture 14" descr="C:\Users\16703\AppData\Roaming\Tencent\Users\1670306646\QQ\WinTemp\RichOle\4S2UV(9(P~%BBFC`01])A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16703\AppData\Roaming\Tencent\Users\1670306646\QQ\WinTemp\RichOle\4S2UV(9(P~%BBFC`01])A_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500" cy="64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75" w:line="450" w:lineRule="atLeast"/>
        <w:ind w:left="-60"/>
        <w:rPr>
          <w:rFonts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 </w:t>
      </w:r>
      <w:r>
        <w:rPr>
          <w:rStyle w:val="23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Fm</w:t>
      </w:r>
      <w:r>
        <w:rPr>
          <w:rStyle w:val="24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−</w:t>
      </w:r>
      <w:r>
        <w:rPr>
          <w:rStyle w:val="26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1</w:t>
      </w:r>
      <w:r>
        <w:rPr>
          <w:rStyle w:val="24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(</w:t>
      </w:r>
      <w:r>
        <w:rPr>
          <w:rStyle w:val="23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x</w:t>
      </w:r>
      <w:r>
        <w:rPr>
          <w:rStyle w:val="24"/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)</w:t>
      </w:r>
      <w:r>
        <w:rPr>
          <w:rFonts w:ascii="微软雅黑" w:hAnsi="微软雅黑" w:eastAsia="微软雅黑"/>
          <w:color w:val="auto"/>
          <w:sz w:val="21"/>
          <w:szCs w:val="21"/>
          <w:shd w:val="clear" w:color="auto" w:fill="FFFFFF"/>
        </w:rPr>
        <w:t>为当前的模型，gbdt 通过经验风险极小化来确定下一个弱分类器的参数。具体到损失函数本身的选择也就是L的选择，有平方损失函数，0-1损失函数，对数损失函数等等。如果我们选择平方损失函数，那么这个差值其实就是我们平常所说的残差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。</w:t>
      </w:r>
    </w:p>
    <w:p>
      <w:pPr>
        <w:shd w:val="clear" w:color="auto" w:fill="FFFFFF"/>
        <w:spacing w:after="0" w:line="240" w:lineRule="auto"/>
        <w:rPr>
          <w:rFonts w:ascii="微软雅黑" w:hAnsi="微软雅黑" w:eastAsia="微软雅黑" w:cs="Times New Roman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下面我们具体来说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>CART TREE(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是一种二叉树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如何生成。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CART TREE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生成的过程其实就是一个选择特征的过程。假设我们目前总共有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M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个特征。第一步我们需要从中选择出一个特征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j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，做为二叉树的第一个节点。然后对特征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j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的值选择一个切分点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m.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一个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样本的特征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>j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的值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如果小于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，则分为一类，如果大于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>m,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则分为另外一类。如此便构建了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CART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树的一个节点。其他节点的生成过程和这个是一样的。现在的问题是在每轮迭代的时候，如何选择这个特征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j,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以及如何选择特征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j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的切分点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m:</w:t>
      </w:r>
    </w:p>
    <w:p>
      <w:pPr>
        <w:shd w:val="clear" w:color="auto" w:fill="FFFFFF"/>
        <w:wordWrap w:val="0"/>
        <w:spacing w:after="0" w:line="240" w:lineRule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原始的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>gbdt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的做法非常的暴力，首先遍历每个特征，然后对每个特征遍历它所有可能的切分点，找到最优特征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m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的最优切分点</w:t>
      </w:r>
      <w:r>
        <w:rPr>
          <w:rFonts w:ascii="微软雅黑" w:hAnsi="微软雅黑" w:eastAsia="微软雅黑" w:cs="Times New Roman"/>
          <w:color w:val="auto"/>
          <w:sz w:val="21"/>
          <w:szCs w:val="21"/>
        </w:rPr>
        <w:t xml:space="preserve"> j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。</w:t>
      </w:r>
    </w:p>
    <w:p>
      <w:pPr>
        <w:shd w:val="clear" w:color="auto" w:fill="FFFFFF"/>
        <w:wordWrap w:val="0"/>
        <w:spacing w:after="0" w:line="240" w:lineRule="auto"/>
        <w:rPr>
          <w:rFonts w:ascii="微软雅黑" w:hAnsi="微软雅黑" w:eastAsia="微软雅黑" w:cs="微软雅黑"/>
          <w:color w:val="000000"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lang w:val="en-US" w:eastAsia="zh-CN"/>
        </w:rPr>
      </w:pPr>
      <w:bookmarkStart w:id="28" w:name="_Toc6055_WPSOffice_Level1"/>
      <w:r>
        <w:rPr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lang w:val="en-US" w:eastAsia="zh-CN"/>
        </w:rPr>
        <w:t>2.决策树</w:t>
      </w:r>
      <w:bookmarkEnd w:id="28"/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29" w:name="_Toc24483_WPSOffice_Level2"/>
      <w:r>
        <w:rPr>
          <w:rFonts w:hint="eastAsia" w:ascii="微软雅黑" w:hAnsi="微软雅黑" w:eastAsia="微软雅黑" w:cs="微软雅黑"/>
          <w:b/>
          <w:bCs/>
          <w:color w:val="2F2F2F"/>
          <w:kern w:val="36"/>
          <w:sz w:val="28"/>
          <w:szCs w:val="28"/>
          <w:lang w:val="en-US" w:eastAsia="zh-CN"/>
        </w:rPr>
        <w:t>2.1.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ID3决策树学习算法</w:t>
      </w:r>
      <w:bookmarkEnd w:id="29"/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3"/>
          <w:szCs w:val="13"/>
          <w:shd w:val="clear" w:color="auto" w:fill="auto"/>
        </w:rPr>
      </w:pPr>
      <w:bookmarkStart w:id="30" w:name="_Toc0"/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bookmarkStart w:id="31" w:name="_Toc1619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以信息增益为准则来选择划分属性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关于得病与否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例子）在14个样本中，yes=9个，no=5个，此时信息熵=-(9/14*log(9/14)+5/14*log(5/14))=0.940286，值得注意的是这里的对数是以2为底，下面随机选择一个属性比如年龄作为划分依据，分成&lt;30,31~40,40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这三组，这三组中yes和no各占不同的数目，计算方式跟上面一样，得到0.97095，0，0.81这三个信息熵，然后成权重后相加得到0.57856，这跟没划分之前的信息熵相差0.361726，这就是信息增益的量。</w:t>
      </w:r>
      <w:bookmarkEnd w:id="30"/>
      <w:bookmarkEnd w:id="31"/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bookmarkStart w:id="32" w:name="_Toc18444"/>
      <w:bookmarkStart w:id="33" w:name="_Toc28222"/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对其它的属性我们也可以做同样的计算，把得到最大的信息增益的作为最优划分属性，这就是ID3算法选择划分属性的准则。</w:t>
      </w:r>
      <w:bookmarkEnd w:id="32"/>
      <w:bookmarkEnd w:id="33"/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</w:pPr>
      <w:bookmarkStart w:id="34" w:name="_Toc14932_WPSOffice_Level2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2.2.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C4.5决策树算法</w:t>
      </w:r>
      <w:bookmarkEnd w:id="34"/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35" w:name="_Toc20945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信息增益准则对可取值数目较多的属性有所偏好，为了减少这种偏好可能带来的不利影响，C4.5决策树算法不直接使用信息增益，而是使用增益率来选择最优划分属性。</w:t>
      </w:r>
      <w:bookmarkEnd w:id="35"/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36" w:name="_Toc15156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这相当于在上面例子中的信息增益0.57856的基础上再除以-(5/14*log(5/14)+4/14*log(4/14)+5/14*log(5/14))，也就是对属性值d 的权重再求个熵，相除后作为最后的增益率。</w:t>
      </w:r>
      <w:bookmarkEnd w:id="3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7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</w:rPr>
      </w:pPr>
      <w:bookmarkStart w:id="37" w:name="_Toc30843_WPSOffice_Level2"/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2.3.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</w:instrText>
      </w:r>
      <w:bookmarkEnd w:id="37"/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https://www.baidu.com/s?wd=%E5%9F%BA%E5%B0%BC&amp;tn=24004469_oem_dg&amp;rsv_dl=gh_pl_sl_csd" \t "https://blog.csdn.net/huacha__/article/details/_blank"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基尼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指数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</w:rPr>
        <w:t>CART决策树算法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21"/>
          <w:szCs w:val="21"/>
          <w:shd w:val="clear" w:fill="FFFFFF"/>
        </w:rPr>
        <w:t>CART决策树算法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使用基尼指数来选择划分属性，这个准则不再用熵和增益来衡量数据集的纯度，而是用基尼值来度量。直观来说这个值反映了从数据集中随机抽取两个样本，其类别标记不一致的概率。因此基尼值越小，则数据集的纯度越高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309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</w:rPr>
      </w:pPr>
      <w:bookmarkStart w:id="38" w:name="_Toc27909_WPSOffice_Level2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2.4.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剪枝处理</w:t>
      </w:r>
      <w:bookmarkEnd w:id="3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剪枝是决策树算法对付“过拟合”的主要手段，通过主动去掉一些分支来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降低过拟合的风险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。根据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泛化性能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是否提升来判断和评估要不要留下这个分支。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那么，如何判断决策树的泛化性能是否提升呢？可以采用“留出法”（一种性能评估方法），即预留一部分数据用作“验证集”来进行性能评估。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7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</w:rPr>
      </w:pPr>
      <w:bookmarkStart w:id="39" w:name="_Toc6055_WPSOffice_Level3"/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2.4.1.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预剪枝 </w:t>
      </w:r>
      <w:bookmarkEnd w:id="39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是否应该进行这个划分？预剪枝要对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划分前和划分后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的泛化性能进行估计。划分后的验证集精度如果比划分前的验证集精度高，那么，就决定划分，否则，预剪枝策略禁止这个结点被划分。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优点：预剪枝使得决策树的很多分支都没有展开，这不仅降低来过拟合的风险，还显著减少了决策树的训练时间开销和测试时间的开销。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缺点：预剪枝基于“贪心”的本质，禁止这些分支展开，给预剪枝决策树带来来欠拟合的风险。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7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</w:rPr>
      </w:pPr>
      <w:bookmarkStart w:id="40" w:name="_Toc16427_WPSOffice_Level3"/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2.4.2.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后剪枝</w:t>
      </w:r>
      <w:bookmarkEnd w:id="4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后剪枝先从训练集上生成一棵完整的树，从最后一个分支来判断要不要剪枝。</w:t>
      </w:r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它的训练时间开销比未剪枝决策树和预剪枝决策树都要大的多。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AECEF" w:sz="4" w:space="3"/>
        </w:pBdr>
        <w:spacing w:before="206" w:beforeAutospacing="0" w:after="137" w:afterAutospacing="0" w:line="11" w:lineRule="atLeast"/>
        <w:outlineLvl w:val="1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</w:pPr>
      <w:bookmarkStart w:id="41" w:name="_Toc16427_WPSOffice_Level1"/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24292E"/>
          <w:spacing w:val="0"/>
          <w:sz w:val="28"/>
          <w:szCs w:val="28"/>
        </w:rPr>
        <w:t>偏差与方差</w:t>
      </w:r>
      <w:bookmarkEnd w:id="4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AECEF" w:sz="4" w:space="3"/>
        </w:pBdr>
        <w:spacing w:before="206" w:beforeAutospacing="0" w:after="137" w:afterAutospacing="0" w:line="11" w:lineRule="atLeast"/>
        <w:outlineLvl w:val="1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偏差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与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方差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分别是用于衡量一个模型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泛化误差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的两个方面；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模型的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偏差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，指的是模型预测的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期望值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与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真实值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之间的差；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ind w:firstLine="7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模型的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方差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，指的是模型预测的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期望值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与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预测值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之间的差平方和；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在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监督学习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中，模型的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泛化误差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可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分解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为偏差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方差与噪声之和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574925" cy="259715"/>
            <wp:effectExtent l="0" t="0" r="508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5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偏差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用于描述模型的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拟合能力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方差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用于描述模型的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稳定性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center"/>
      </w:pPr>
      <w:r>
        <w:drawing>
          <wp:inline distT="0" distB="0" distL="114300" distR="114300">
            <wp:extent cx="1377315" cy="1289685"/>
            <wp:effectExtent l="0" t="0" r="444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bookmarkStart w:id="42" w:name="_Toc30040_WPSOffice_Level2"/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3.1.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导致偏差和方差的原因</w:t>
      </w:r>
      <w:bookmarkEnd w:id="4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偏差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通常是由于我们对学习算法做了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错误的假设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，或者模型的复杂度不够；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比如真实模型是一个二次函数，而我们假设模型为一次函数，这就会导致偏差的增大（欠拟合）；</w:t>
      </w:r>
      <w:bookmarkStart w:id="43" w:name="_Toc27633_WPSOffice_Level3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由偏差引起的误差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通常在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训练误差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上就能体现，或者说训练误差主要是由偏差造成的</w:t>
      </w:r>
      <w:bookmarkEnd w:id="4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方差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通常是由于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模型的复杂度相对于训练集过高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导致的；比如真实模型是一个简单的二次函数，而我们假设模型是一个高次函数，这就会导致方差的增大（过拟合）；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由方差引起的误差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通常体现在测试误差相对训练误差的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增量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上。</w:t>
      </w:r>
    </w:p>
    <w:p>
      <w:pPr>
        <w:pStyle w:val="4"/>
        <w:keepNext w:val="0"/>
        <w:keepLines w:val="0"/>
        <w:widowControl/>
        <w:suppressLineNumbers w:val="0"/>
        <w:spacing w:before="206" w:beforeAutospacing="0" w:after="137" w:afterAutospacing="0"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bookmarkStart w:id="44" w:name="_Toc4543_WPSOffice_Level2"/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3.2.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深度学习中的偏差与方差</w:t>
      </w:r>
      <w:bookmarkEnd w:id="4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神经网络的拟合能力非常强，因此它的</w:t>
      </w:r>
      <w:r>
        <w:rPr>
          <w:rStyle w:val="12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  <w:t>训练误差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（偏差）通常较小；但是过强的拟合能力会导致较大的方差，使模型的测试误差（</w:t>
      </w:r>
      <w:r>
        <w:rPr>
          <w:rStyle w:val="12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  <w:t>泛化误差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）增大；因此深度学习的核心工作之一就是研究如何降低模型的泛化误差，这类方法统称为</w:t>
      </w:r>
      <w:r>
        <w:rPr>
          <w:rStyle w:val="12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  <w:t>正则化方法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bookmarkStart w:id="45" w:name="_Toc21947_WPSOffice_Level1"/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生成模型与判别模型</w:t>
      </w:r>
      <w:bookmarkEnd w:id="4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13"/>
          <w:szCs w:val="13"/>
          <w:shd w:val="clear" w:fill="FFFFFF"/>
        </w:rPr>
        <w:t>《统计学习方法》 1.7 生成模型与判别模型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监督学习的任务是学习一个模型，对给定的输入预测相应的输出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这个模型的一般形式为一个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决策函数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或一个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条件概率分布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（后验概率）：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53" w:beforeAutospacing="0" w:after="137" w:afterAutospacing="0"/>
        <w:ind w:firstLine="72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决策函数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：输入 X 返回 Y；其中 Y 与一个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阈值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比较，然后根据比较结果判定 X 的类别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条件概率分布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：输入 X 返回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X 属于每个类别的概率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；将其中概率最大的作为 X 所属的类别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监督学习模型可分为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生成模型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与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判别模型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firstLine="7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判别模型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直接学习决策函数或者条件概率分布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直观来说，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判别模型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学习的是类别之间的最优分隔面，反映的是不同类数据之间的差异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firstLine="7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生成模型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学习的是联合概率分布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P(X,Y)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，然后根据条件概率公式计算 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P(Y|X)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bookmarkStart w:id="46" w:name="_Toc9945_WPSOffice_Level2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4.1.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两者之间的联系</w:t>
      </w:r>
      <w:bookmarkEnd w:id="46"/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由生成模型可以得到判别模型，但由判别模型得不到生成模型。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240" w:lineRule="auto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当存在“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隐变量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”时，只能使用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生成模型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240" w:lineRule="auto"/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21"/>
          <w:szCs w:val="21"/>
        </w:rPr>
        <w:t>隐变量：当我们找不到引起某一现象的原因时，就把这个在起作用，但无法确定的因素，叫“隐变量”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bookmarkStart w:id="47" w:name="_Toc18763_WPSOffice_Level2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4.2.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常见模型</w:t>
      </w:r>
      <w:bookmarkEnd w:id="47"/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判别模型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K 近邻、感知机（神经网络）、决策树、逻辑斯蒂回归、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最大熵模型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、SVM、提升方法、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条件随机场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生成模型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朴素贝叶斯、隐马尔可夫模型、混合高斯模型、贝叶斯网络、马尔可夫随机场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AECEF" w:sz="4" w:space="3"/>
        </w:pBdr>
        <w:spacing w:before="206" w:beforeAutospacing="0" w:after="137" w:afterAutospacing="0" w:line="11" w:lineRule="atLeast"/>
        <w:ind w:leftChars="0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bookmarkStart w:id="48" w:name="_Toc24483_WPSOffice_Level1"/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先验概率与后验概率</w:t>
      </w:r>
      <w:bookmarkEnd w:id="48"/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条件概率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（似然概率）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一个事件发生后另一个事件发生的概率。一般的形式为 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P(X|Y)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，表示 y 发生的条件下 x 发生的概率。有时为了区分一般意义上的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条件概率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，也称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似然概率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先验概率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事件发生前的预判概率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可以是基于历史数据的统计，可以由背景常识得出，也可以是人的主观观点给出。一般都是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单独事件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发生的概率，如 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P(A)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、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P(B)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后验概率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基于先验概率求得的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反向条件概率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，形式上与条件概率相同（若 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P(X|Y)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 为正向，则 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P(Y|X)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 为反向）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贝叶斯公式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441325"/>
            <wp:effectExtent l="0" t="0" r="4445" b="1270"/>
            <wp:docPr id="27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</w:pPr>
      <w:bookmarkStart w:id="49" w:name="_Toc14932_WPSOffice_Level1"/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6.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Bagging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 xml:space="preserve"> vs 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Boosting</w:t>
      </w:r>
      <w:bookmarkEnd w:id="49"/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lang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</w:rPr>
        <w:t>在Bagging方法中，b个学习器之间彼此是相互独立的，这样的特点使得Bagging方法更容易并行。与Bagging方法不同，在Boosting算法中，学习器之间是存在先后顺序的，同时，每一个样本是有权重的，初始时，每一个样本的权重是相等的。首先，第1个学习器对训练样本进行学习，当学习完成后，增大错误样本的权重，同时减小正确样本的权重，再利用第2个学习器对其进行学习，依次进行下去，最终得到b个学习器，最终，合并这b个学习器的结果</w:t>
      </w: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lang w:eastAsia="zh-CN"/>
        </w:rPr>
        <w:t>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 w:line="240" w:lineRule="auto"/>
        <w:ind w:left="0" w:firstLine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06" w:beforeAutospacing="0" w:after="137" w:afterAutospacing="0" w:line="11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bookmarkStart w:id="50" w:name="_Toc30843_WPSOffice_Level1"/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信息熵、KL 散度（相对熵）与交叉熵</w:t>
      </w:r>
      <w:bookmarkEnd w:id="50"/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bookmarkStart w:id="51" w:name="_Toc6824_WPSOffice_Level2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7.1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自信息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self-information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H(Xi) = − logP(Xi)</w:t>
      </w:r>
      <w:bookmarkEnd w:id="51"/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信息论的基本想法是一个不太可能的事件居然发生了，要比一个非常可能的事件发生，能提供更多的信息。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该想法可描述为以下性质：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非常可能发生的事件信息量要比较少，并且极端情况下，确保能够发生的事件应该没有信息量。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比较不可能发生的事件具有更高的信息量。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独立事件应具有增量的信息。例如，投掷的硬币两次正面朝上传递的信息量，应该是投掷一次硬币正面朝上的信息量的两倍。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　　例题：若估计在一次国际象棋比赛中谢军获得冠军的可能性为0.1(记为事件A)，而在另一次国际象棋比赛中她得到冠军的可能性为0.9(记为事件B)。试分别计算当你得知她获得冠军时，从这两个事件中获得的信息量各为多少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　　　　　　H(A)=-log2 P(0.1)≈3.32(比特)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  <w:t>　　　　　　H(B)=-log2 P(0.9)≈0.152(比特)</w:t>
      </w:r>
    </w:p>
    <w:p>
      <w:pPr>
        <w:keepNext w:val="0"/>
        <w:keepLines w:val="0"/>
        <w:widowControl/>
        <w:suppressLineNumbers w:val="0"/>
        <w:ind w:left="210" w:hanging="21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7.2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信息熵（Information-entropy）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对整个概率分布中的不确定性总量进行量化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0805" cy="341630"/>
            <wp:effectExtent l="0" t="0" r="3175" b="381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0" w:hanging="210" w:hangingChars="10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信息熵也称香农熵（Shannon entropy）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06" w:beforeAutospacing="0" w:after="137" w:afterAutospacing="0"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  <w:bookmarkStart w:id="52" w:name="_Toc8869_WPSOffice_Level2"/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val="en-US" w:eastAsia="zh-CN"/>
        </w:rPr>
        <w:t>7.3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相对熵（KL 散度）与交叉熵</w:t>
      </w:r>
      <w:bookmarkEnd w:id="52"/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P 对 Q 的 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KL散度</w:t>
      </w: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Kullback-Leibler divergence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3755390" cy="459105"/>
            <wp:effectExtent l="0" t="0" r="1270" b="5080"/>
            <wp:docPr id="10" name="图片 10" descr="@UHHKZ6`807{(24ZOV`KX)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@UHHKZ6`807{(24ZOV`KX)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交叉熵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</w:rPr>
        <w:t>（cross-entropy）：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9645" cy="415925"/>
            <wp:effectExtent l="0" t="0" r="9525" b="508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bottom w:val="single" w:color="EAECEF" w:sz="4" w:space="3"/>
        </w:pBdr>
        <w:spacing w:before="206" w:beforeAutospacing="0" w:after="137" w:afterAutospacing="0"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  <w:bookmarkStart w:id="53" w:name="_Toc27909_WPSOffice_Level1"/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  <w:t>一个完整的机器学习项目流程</w:t>
      </w:r>
      <w:bookmarkEnd w:id="53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https://github.com/geekcircle/machine-learning-interview-qa/blob/master/questions/2.md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bookmarkStart w:id="54" w:name="_Toc25570_WPSOffice_Level2"/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 w:bidi="ar"/>
        </w:rPr>
        <w:t xml:space="preserve">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数学抽象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  <w:t>：</w:t>
      </w:r>
      <w:bookmarkEnd w:id="54"/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明确问题是进行机器学习的第一步。机器学习的训练过程通常都是一件非常耗时的事情，胡乱尝试时间成本是非常高的。这里的抽象成数学问题，指的是根据数据明确任务目标，是分类、还是回归，或者是聚类。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数据获取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数据决定了机器学习结果的上限，而算法只是尽可能逼近这个上限。数据要有代表性，否则必然会过拟合。对于分类问题，数据偏斜不能过于严重（平衡），不同类别的数据数量不要有数个数量级的差距。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对数据的量级要有一个评估，多少个样本，多少个特征，据此估算出内存需求。如果放不下就得考虑改进算法或者使用一些降维技巧，或者采用分布式计算。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预处理与特征选择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良好的数据要能够提取出良好的特征才能真正发挥效力。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预处理/数据清洗是很关键的步骤，往往能够使得算法的效果和性能得到显著提高。归一化、离散化、因子化、缺失值处理、去除共线性等，数据挖掘过程中很多时间就花在它们上面。这些工作简单可复制，收益稳定可预期，是机器学习的基础必备步骤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筛选出显著特征、摒弃非显著特征，需要机器学习工程师反复理解业务。这对很多结果有决定性的影响。特征选择好了，非常简单的算法也能得出良好、稳定的结果。这需要运用特征有效性分析的相关技术，如相关系数、卡方检验、平均互信息、条件熵、后验概率、逻辑回归权重等方法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val="en-US" w:eastAsia="zh-CN"/>
        </w:rPr>
        <w:t>④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模型训练与调优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直到这一步才用到算法进行训练。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现在很多算法都能够封装成黑盒使用。但是真正考验水平的是调整这些算法的（超）参数，使得结果变得更加优良。这需要我们对算法的原理有深入的理解。理解越深入，就越能发现问题的症结，提出良好的调优方案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val="en-US" w:eastAsia="zh-CN"/>
        </w:rPr>
        <w:t>⑤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模型诊断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如何确定模型调优的方向与思路呢？这就需要对模型进行诊断的技术。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过拟合、欠拟合 判断是模型诊断中至关重要的一步。常见的方法如交叉验证，绘制学习曲线等。过拟合的基本调优思路是增加数据量，降低模型复杂度。欠拟合的基本调优思路是提高特征数量和质量，增加模型复杂度。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误差分析也是机器学习至关重要的步骤。通过观察误差样本，全面分析误差产生误差的原因:是参数的问题还是算法选择的问题，是特征的问题还是数据本身的问题......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诊断后的模型需要进行调优，调优后的新模型需要重新进行诊断，这是一个反复迭代不断逼近的过程，需要不断地尝试， 进而达到最优状态。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val="en-US" w:eastAsia="zh-CN"/>
        </w:rPr>
        <w:t>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模型融合/集成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一般来说，模型融合后都能使得效果有一定提升。而且效果很好。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工程上，主要提升算法准确度的方法是分别在模型的前端（特征清洗和预处理，不同的采样模式）与后端（模型融合）上下功夫。因为他们比较标准可复制，效果比较稳定。而直接调参的工作不会很多，毕竟大量数据训练起来太慢了，而且效果难以保证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val="en-US" w:eastAsia="zh-CN"/>
        </w:rPr>
        <w:t>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上线运行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lang w:eastAsia="zh-CN"/>
        </w:rPr>
        <w:t>：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这一部分内容主要跟工程实现的相关性更大。工程上是结果导向，模型在线上运行的效果直接决定模型的成败。不单纯包括其准确程度、误差等情况，还包括其运行的速度(时间复杂度)、资源消耗程度（空间复杂度）、稳定性是否可接受。</w:t>
      </w:r>
    </w:p>
    <w:p>
      <w:pPr>
        <w:pStyle w:val="10"/>
        <w:keepNext w:val="0"/>
        <w:keepLines w:val="0"/>
        <w:widowControl/>
        <w:suppressLineNumbers w:val="0"/>
        <w:spacing w:before="137" w:beforeAutospacing="0" w:after="137" w:afterAutospacing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这些工作流程主要是工程实践上总结出的一些经验。并不是每个项目都包含完整的一个流程。这里的部分只是一个指导性的说明，只有多实践，多积累项目经验，才会有自己更深刻的认识。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137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0" w:after="137" w:afterAutospacing="0" w:line="240" w:lineRule="auto"/>
        <w:ind w:leftChars="0"/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0" w:afterAutospacing="0"/>
        <w:ind w:left="0" w:firstLine="0"/>
        <w:jc w:val="both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240" w:lineRule="auto"/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both"/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spacing w:after="225" w:line="240" w:lineRule="auto"/>
        <w:outlineLvl w:val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/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356451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C9802"/>
    <w:multiLevelType w:val="multilevel"/>
    <w:tmpl w:val="A16C98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40953FD"/>
    <w:multiLevelType w:val="multilevel"/>
    <w:tmpl w:val="14095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9422B8F"/>
    <w:multiLevelType w:val="multilevel"/>
    <w:tmpl w:val="39422B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6BA85F9"/>
    <w:multiLevelType w:val="singleLevel"/>
    <w:tmpl w:val="46BA85F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84"/>
    <w:rsid w:val="000D081F"/>
    <w:rsid w:val="00273A33"/>
    <w:rsid w:val="00291C4C"/>
    <w:rsid w:val="002A2BBE"/>
    <w:rsid w:val="00342E6E"/>
    <w:rsid w:val="00546304"/>
    <w:rsid w:val="006162F0"/>
    <w:rsid w:val="0068285D"/>
    <w:rsid w:val="00764AEA"/>
    <w:rsid w:val="008121C4"/>
    <w:rsid w:val="008752B2"/>
    <w:rsid w:val="00882082"/>
    <w:rsid w:val="00A97284"/>
    <w:rsid w:val="00B63EDD"/>
    <w:rsid w:val="00BE3179"/>
    <w:rsid w:val="00D12481"/>
    <w:rsid w:val="00F405B6"/>
    <w:rsid w:val="00FA242C"/>
    <w:rsid w:val="0D28435C"/>
    <w:rsid w:val="17F816C7"/>
    <w:rsid w:val="2A0F5BC6"/>
    <w:rsid w:val="2DAC271A"/>
    <w:rsid w:val="31A2456B"/>
    <w:rsid w:val="3CC96056"/>
    <w:rsid w:val="3E7E01B9"/>
    <w:rsid w:val="599C517A"/>
    <w:rsid w:val="5A3D4DBC"/>
    <w:rsid w:val="5D5958B6"/>
    <w:rsid w:val="5DBE36FE"/>
    <w:rsid w:val="60177CAA"/>
    <w:rsid w:val="6D8851B0"/>
    <w:rsid w:val="71FE0879"/>
    <w:rsid w:val="72353BE5"/>
    <w:rsid w:val="75C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7">
    <w:name w:val="Heading 1 Char"/>
    <w:basedOn w:val="11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8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9">
    <w:name w:val="Header Char"/>
    <w:basedOn w:val="11"/>
    <w:link w:val="7"/>
    <w:uiPriority w:val="99"/>
  </w:style>
  <w:style w:type="character" w:customStyle="1" w:styleId="20">
    <w:name w:val="Footer Char"/>
    <w:basedOn w:val="11"/>
    <w:link w:val="6"/>
    <w:uiPriority w:val="99"/>
  </w:style>
  <w:style w:type="paragraph" w:customStyle="1" w:styleId="21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en-US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mi"/>
    <w:basedOn w:val="11"/>
    <w:uiPriority w:val="0"/>
  </w:style>
  <w:style w:type="character" w:customStyle="1" w:styleId="24">
    <w:name w:val="mo"/>
    <w:basedOn w:val="11"/>
    <w:uiPriority w:val="0"/>
  </w:style>
  <w:style w:type="character" w:customStyle="1" w:styleId="25">
    <w:name w:val="mjx_assistive_mathml"/>
    <w:basedOn w:val="11"/>
    <w:uiPriority w:val="0"/>
  </w:style>
  <w:style w:type="character" w:customStyle="1" w:styleId="26">
    <w:name w:val="mn"/>
    <w:basedOn w:val="11"/>
    <w:uiPriority w:val="0"/>
  </w:style>
  <w:style w:type="paragraph" w:customStyle="1" w:styleId="2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72f7e33-a1eb-42a7-937c-baa87b26bc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f7e33-a1eb-42a7-937c-baa87b26bc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4ed504-cd81-49d8-8b8d-2ca5227043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ed504-cd81-49d8-8b8d-2ca5227043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8c48c7-f619-46c2-9078-99dc604168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8c48c7-f619-46c2-9078-99dc604168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7ecd9-5c4f-4019-a4e7-8f4f904c72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7ecd9-5c4f-4019-a4e7-8f4f904c72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804dfb-474e-429a-958b-e56cd5d76f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804dfb-474e-429a-958b-e56cd5d76f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3dd71e-6cef-4508-9765-6fa97b3694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3dd71e-6cef-4508-9765-6fa97b3694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53a75c-76d7-4630-9ab8-23da52319c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53a75c-76d7-4630-9ab8-23da52319c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f2f12c-8ca1-480e-ad51-52fef9c112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2f12c-8ca1-480e-ad51-52fef9c112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46c41f-70a8-4f14-9621-2dbbf60029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46c41f-70a8-4f14-9621-2dbbf60029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3a067b-30dc-4b87-8b46-8c887abcb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3a067b-30dc-4b87-8b46-8c887abcb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43136b-b5fe-4a9f-bc97-e5a1d955f8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3136b-b5fe-4a9f-bc97-e5a1d955f8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40fdea-d496-4091-9a93-6984252b28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40fdea-d496-4091-9a93-6984252b28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e51964-928d-44e1-b1c0-2ed2bc19c3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e51964-928d-44e1-b1c0-2ed2bc19c3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821ceb-937f-46db-a17f-17e16466fb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821ceb-937f-46db-a17f-17e16466fb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54ed72-3d81-41f0-a81d-128e65dc2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54ed72-3d81-41f0-a81d-128e65dc2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a56b5d-4dfa-4613-ab4c-650b088786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a56b5d-4dfa-4613-ab4c-650b088786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98d67a-8f73-4547-b039-a5c616e0f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98d67a-8f73-4547-b039-a5c616e0f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7c7120-59e0-4bd4-8c70-100132ff9a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7c7120-59e0-4bd4-8c70-100132ff9a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87f44b-326e-41bd-8bd3-b2bb616cd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87f44b-326e-41bd-8bd3-b2bb616cd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f82e65-eafc-4501-84bd-abbdedb47d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f82e65-eafc-4501-84bd-abbdedb47d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baf843-5be6-4ae8-8c28-533cf5af8d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baf843-5be6-4ae8-8c28-533cf5af8d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C91B4C-AACB-43D8-B528-6B8B7A0A0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1614</Characters>
  <Lines>13</Lines>
  <Paragraphs>3</Paragraphs>
  <TotalTime>5</TotalTime>
  <ScaleCrop>false</ScaleCrop>
  <LinksUpToDate>false</LinksUpToDate>
  <CharactersWithSpaces>1894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2018-09-06T00:42:00Z</dcterms:created>
  <dc:creator>bochuan wu</dc:creator>
  <cp:lastModifiedBy>正直怪人</cp:lastModifiedBy>
  <dcterms:modified xsi:type="dcterms:W3CDTF">2019-03-01T22:15:36Z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