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ong-daimin"/>
    <w:p>
      <w:pPr>
        <w:pStyle w:val="Heading1"/>
      </w:pPr>
      <w:r>
        <w:t xml:space="preserve">ONG DAIMIN</w:t>
      </w:r>
    </w:p>
    <w:bookmarkStart w:id="20" w:name="rapport-dactivité-ramadan-2026"/>
    <w:p>
      <w:pPr>
        <w:pStyle w:val="Heading2"/>
      </w:pPr>
      <w:r>
        <w:t xml:space="preserve">Rapport d’activité – Ramadan 2026</w:t>
      </w:r>
    </w:p>
    <w:p>
      <w:r>
        <w:pict>
          <v:rect style="width:0;height:1.5pt" o:hralign="center" o:hrstd="t" o:hr="t"/>
        </w:pict>
      </w:r>
    </w:p>
    <w:bookmarkEnd w:id="20"/>
    <w:bookmarkStart w:id="21" w:name="page-de-couverture"/>
    <w:p>
      <w:pPr>
        <w:pStyle w:val="Heading2"/>
      </w:pPr>
      <w:r>
        <w:t xml:space="preserve">1. Page de couverture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 de l’ONG</w:t>
      </w:r>
      <w:r>
        <w:t xml:space="preserve"> </w:t>
      </w:r>
      <w:r>
        <w:t xml:space="preserve">: DAIMIN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Intitulé de l’activité</w:t>
      </w:r>
      <w:r>
        <w:t xml:space="preserve"> </w:t>
      </w:r>
      <w:r>
        <w:t xml:space="preserve">: Action sociale – Ramadan 2026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Période</w:t>
      </w:r>
      <w:r>
        <w:t xml:space="preserve"> </w:t>
      </w:r>
      <w:r>
        <w:t xml:space="preserve">: Mois de Ramadan 2026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Auteur du rapport</w:t>
      </w:r>
      <w:r>
        <w:t xml:space="preserve"> </w:t>
      </w:r>
      <w:r>
        <w:t xml:space="preserve">: Trésorier de l’ONG DAIMIN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2. Introduction</w:t>
      </w:r>
    </w:p>
    <w:p>
      <w:pPr>
        <w:pStyle w:val="FirstParagraph"/>
      </w:pPr>
      <w:r>
        <w:t xml:space="preserve">Dans le cadre de ses actions sociales et humanitaires, l’ONG DAIMIN a organisé une activité spéciale durant le mois de Ramadan 2026. Cette initiative visait à soutenir les familles vulnérables à travers la mobilisation et la distribution de dons alimentaires et financiers, dans un esprit de solidarité et de partage.</w:t>
      </w:r>
    </w:p>
    <w:p>
      <w:r>
        <w:pict>
          <v:rect style="width:0;height:1.5pt" o:hralign="center" o:hrstd="t" o:hr="t"/>
        </w:pict>
      </w:r>
    </w:p>
    <w:bookmarkEnd w:id="22"/>
    <w:bookmarkStart w:id="23" w:name="présentation-de-long-daimin"/>
    <w:p>
      <w:pPr>
        <w:pStyle w:val="Heading2"/>
      </w:pPr>
      <w:r>
        <w:t xml:space="preserve">3. Présentation de l’ONG DAIMIN</w:t>
      </w:r>
    </w:p>
    <w:p>
      <w:pPr>
        <w:pStyle w:val="FirstParagraph"/>
      </w:pPr>
      <w:r>
        <w:t xml:space="preserve">L’ONG DAIMIN est une organisation à but non lucratif œuvrant dans le domaine social et humanitaire. Elle intervient principalement dans l’aide aux personnes vulnérables, la solidarité communautaire et les actions de bienfaisance.</w:t>
      </w:r>
    </w:p>
    <w:p>
      <w:r>
        <w:pict>
          <v:rect style="width:0;height:1.5pt" o:hralign="center" o:hrstd="t" o:hr="t"/>
        </w:pict>
      </w:r>
    </w:p>
    <w:bookmarkEnd w:id="23"/>
    <w:bookmarkStart w:id="26" w:name="objectifs-de-lactivité"/>
    <w:p>
      <w:pPr>
        <w:pStyle w:val="Heading2"/>
      </w:pPr>
      <w:r>
        <w:t xml:space="preserve">4. Objectifs de l’activité</w:t>
      </w:r>
    </w:p>
    <w:bookmarkStart w:id="24" w:name="objectif-général"/>
    <w:p>
      <w:pPr>
        <w:pStyle w:val="Heading3"/>
      </w:pPr>
      <w:r>
        <w:t xml:space="preserve">4.1 Objectif général</w:t>
      </w:r>
    </w:p>
    <w:p>
      <w:pPr>
        <w:pStyle w:val="FirstParagraph"/>
      </w:pPr>
      <w:r>
        <w:t xml:space="preserve">Apporter une assistance matérielle et alimentaire aux familles démunies durant le mois de Ramadan 2026.</w:t>
      </w:r>
    </w:p>
    <w:bookmarkEnd w:id="24"/>
    <w:bookmarkStart w:id="25" w:name="objectifs-spécifiques"/>
    <w:p>
      <w:pPr>
        <w:pStyle w:val="Heading3"/>
      </w:pPr>
      <w:r>
        <w:t xml:space="preserve">4.2 Objectifs spécifiques</w:t>
      </w:r>
    </w:p>
    <w:p>
      <w:pPr>
        <w:pStyle w:val="Compact"/>
        <w:numPr>
          <w:ilvl w:val="0"/>
          <w:numId w:val="1002"/>
        </w:numPr>
      </w:pPr>
      <w:r>
        <w:t xml:space="preserve">Mobiliser des ressources financières et matérielles</w:t>
      </w:r>
    </w:p>
    <w:p>
      <w:pPr>
        <w:pStyle w:val="Compact"/>
        <w:numPr>
          <w:ilvl w:val="0"/>
          <w:numId w:val="1002"/>
        </w:numPr>
      </w:pPr>
      <w:r>
        <w:t xml:space="preserve">Distribuer des kits alimentaires aux familles bénéficiaires</w:t>
      </w:r>
    </w:p>
    <w:p>
      <w:pPr>
        <w:pStyle w:val="Compact"/>
        <w:numPr>
          <w:ilvl w:val="0"/>
          <w:numId w:val="1002"/>
        </w:numPr>
      </w:pPr>
      <w:r>
        <w:t xml:space="preserve">Renforcer la transparence dans la gestion des dons</w:t>
      </w:r>
    </w:p>
    <w:p>
      <w:pPr>
        <w:pStyle w:val="Compact"/>
        <w:numPr>
          <w:ilvl w:val="0"/>
          <w:numId w:val="1002"/>
        </w:numPr>
      </w:pPr>
      <w:r>
        <w:t xml:space="preserve">Encourager la participation communautaire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scription-de-lactivité-ramadan-2026"/>
    <w:p>
      <w:pPr>
        <w:pStyle w:val="Heading2"/>
      </w:pPr>
      <w:r>
        <w:t xml:space="preserve">5. Description de l’activité Ramadan 2026</w:t>
      </w:r>
    </w:p>
    <w:p>
      <w:pPr>
        <w:pStyle w:val="FirstParagraph"/>
      </w:pPr>
      <w:r>
        <w:t xml:space="preserve">L’activité a consisté en la collecte de dons suivie de l’achat et de la distribution de kits alimentaires à des familles identifiées comme vulnérables durant le mois de Ramadan.</w:t>
      </w:r>
    </w:p>
    <w:p>
      <w:r>
        <w:pict>
          <v:rect style="width:0;height:1.5pt" o:hralign="center" o:hrstd="t" o:hr="t"/>
        </w:pict>
      </w:r>
    </w:p>
    <w:bookmarkEnd w:id="27"/>
    <w:bookmarkStart w:id="30" w:name="organisation-et-participants"/>
    <w:p>
      <w:pPr>
        <w:pStyle w:val="Heading2"/>
      </w:pPr>
      <w:r>
        <w:t xml:space="preserve">6. Organisation et participants</w:t>
      </w:r>
    </w:p>
    <w:bookmarkStart w:id="28" w:name="participants-internes"/>
    <w:p>
      <w:pPr>
        <w:pStyle w:val="Heading3"/>
      </w:pPr>
      <w:r>
        <w:t xml:space="preserve">6.1 Participants internes</w:t>
      </w:r>
    </w:p>
    <w:p>
      <w:pPr>
        <w:pStyle w:val="Compact"/>
        <w:numPr>
          <w:ilvl w:val="0"/>
          <w:numId w:val="1003"/>
        </w:numPr>
      </w:pPr>
      <w:r>
        <w:t xml:space="preserve">Membres du bureau exécutif de DAIMIN</w:t>
      </w:r>
    </w:p>
    <w:p>
      <w:pPr>
        <w:pStyle w:val="Compact"/>
        <w:numPr>
          <w:ilvl w:val="0"/>
          <w:numId w:val="1003"/>
        </w:numPr>
      </w:pPr>
      <w:r>
        <w:t xml:space="preserve">Volontaires de l’ONG</w:t>
      </w:r>
    </w:p>
    <w:p>
      <w:pPr>
        <w:pStyle w:val="Compact"/>
        <w:numPr>
          <w:ilvl w:val="0"/>
          <w:numId w:val="1003"/>
        </w:numPr>
      </w:pPr>
      <w:r>
        <w:t xml:space="preserve">Équipe logistique et financière</w:t>
      </w:r>
    </w:p>
    <w:bookmarkEnd w:id="28"/>
    <w:bookmarkStart w:id="29" w:name="participants-externes"/>
    <w:p>
      <w:pPr>
        <w:pStyle w:val="Heading3"/>
      </w:pPr>
      <w:r>
        <w:t xml:space="preserve">6.2 Participants externes</w:t>
      </w:r>
    </w:p>
    <w:p>
      <w:pPr>
        <w:pStyle w:val="Compact"/>
        <w:numPr>
          <w:ilvl w:val="0"/>
          <w:numId w:val="1004"/>
        </w:numPr>
      </w:pPr>
      <w:r>
        <w:t xml:space="preserve">Donateurs externes (connus et anonymes)</w:t>
      </w:r>
    </w:p>
    <w:p>
      <w:pPr>
        <w:pStyle w:val="Compact"/>
        <w:numPr>
          <w:ilvl w:val="0"/>
          <w:numId w:val="1004"/>
        </w:numPr>
      </w:pPr>
      <w:r>
        <w:t xml:space="preserve">Bénéficiaires directs (familles)</w:t>
      </w:r>
    </w:p>
    <w:p>
      <w:pPr>
        <w:pStyle w:val="Compact"/>
        <w:numPr>
          <w:ilvl w:val="0"/>
          <w:numId w:val="1004"/>
        </w:numPr>
      </w:pPr>
      <w:r>
        <w:t xml:space="preserve">Personnes ayant reçu des lettres de sollicitation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edfa9f4a38c695374bc49632fa2a2fea88bfe60"/>
    <w:p>
      <w:pPr>
        <w:pStyle w:val="Heading2"/>
      </w:pPr>
      <w:r>
        <w:t xml:space="preserve">7. Méthodologie de mobilisation des ressources</w:t>
      </w:r>
    </w:p>
    <w:p>
      <w:pPr>
        <w:pStyle w:val="FirstParagraph"/>
      </w:pPr>
      <w:r>
        <w:t xml:space="preserve">Les ressources ont été mobilisées à travers :</w:t>
      </w:r>
      <w:r>
        <w:t xml:space="preserve"> </w:t>
      </w:r>
      <w:r>
        <w:t xml:space="preserve">- la distribution de lettres de sollicitation,</w:t>
      </w:r>
      <w:r>
        <w:t xml:space="preserve"> </w:t>
      </w:r>
      <w:r>
        <w:t xml:space="preserve">- les dons en espèces,</w:t>
      </w:r>
      <w:r>
        <w:t xml:space="preserve"> </w:t>
      </w:r>
      <w:r>
        <w:t xml:space="preserve">- les dons via des plateformes numériques (Wave, MTN MoMo, Orange Money, Moov Money, Djamo).</w:t>
      </w:r>
    </w:p>
    <w:p>
      <w:r>
        <w:pict>
          <v:rect style="width:0;height:1.5pt" o:hralign="center" o:hrstd="t" o:hr="t"/>
        </w:pict>
      </w:r>
    </w:p>
    <w:bookmarkEnd w:id="31"/>
    <w:bookmarkStart w:id="36" w:name="gestion-financière-et-budget"/>
    <w:p>
      <w:pPr>
        <w:pStyle w:val="Heading2"/>
      </w:pPr>
      <w:r>
        <w:t xml:space="preserve">8. Gestion financière et budget</w:t>
      </w:r>
    </w:p>
    <w:bookmarkStart w:id="32" w:name="budget-prévisionnel-demandé"/>
    <w:p>
      <w:pPr>
        <w:pStyle w:val="Heading3"/>
      </w:pPr>
      <w:r>
        <w:t xml:space="preserve">8.1 Budget prévisionnel (demandé)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Montant total demandé</w:t>
      </w:r>
      <w:r>
        <w:t xml:space="preserve"> </w:t>
      </w:r>
      <w:r>
        <w:t xml:space="preserve">: 1 500 000 FCFA</w:t>
      </w:r>
    </w:p>
    <w:bookmarkEnd w:id="32"/>
    <w:bookmarkStart w:id="33" w:name="budget-reçu"/>
    <w:p>
      <w:pPr>
        <w:pStyle w:val="Heading3"/>
      </w:pPr>
      <w:r>
        <w:t xml:space="preserve">8.2 Budget reçu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Montant total reçu</w:t>
      </w:r>
      <w:r>
        <w:t xml:space="preserve"> </w:t>
      </w:r>
      <w:r>
        <w:t xml:space="preserve">: 1 350 000 FCFA</w:t>
      </w:r>
    </w:p>
    <w:bookmarkEnd w:id="33"/>
    <w:bookmarkStart w:id="34" w:name="X47aa63ebcbe32f8af30dfad9885fa3c40621dfd"/>
    <w:p>
      <w:pPr>
        <w:pStyle w:val="Heading3"/>
      </w:pPr>
      <w:r>
        <w:t xml:space="preserve">8.3 Répartition des dons par mode de paiement</w:t>
      </w:r>
    </w:p>
    <w:p>
      <w:pPr>
        <w:pStyle w:val="Compact"/>
        <w:numPr>
          <w:ilvl w:val="0"/>
          <w:numId w:val="1007"/>
        </w:numPr>
      </w:pPr>
      <w:r>
        <w:t xml:space="preserve">Espèces : 40 % (540 000 FCFA)</w:t>
      </w:r>
    </w:p>
    <w:p>
      <w:pPr>
        <w:pStyle w:val="Compact"/>
        <w:numPr>
          <w:ilvl w:val="0"/>
          <w:numId w:val="1007"/>
        </w:numPr>
      </w:pPr>
      <w:r>
        <w:t xml:space="preserve">Wave : 25 % (337 500 FCFA)</w:t>
      </w:r>
    </w:p>
    <w:p>
      <w:pPr>
        <w:pStyle w:val="Compact"/>
        <w:numPr>
          <w:ilvl w:val="0"/>
          <w:numId w:val="1007"/>
        </w:numPr>
      </w:pPr>
      <w:r>
        <w:t xml:space="preserve">MTN MoMo : 15 % (202 500 FCFA)</w:t>
      </w:r>
    </w:p>
    <w:p>
      <w:pPr>
        <w:pStyle w:val="Compact"/>
        <w:numPr>
          <w:ilvl w:val="0"/>
          <w:numId w:val="1007"/>
        </w:numPr>
      </w:pPr>
      <w:r>
        <w:t xml:space="preserve">Orange Money : 10 % (135 000 FCFA)</w:t>
      </w:r>
    </w:p>
    <w:p>
      <w:pPr>
        <w:pStyle w:val="Compact"/>
        <w:numPr>
          <w:ilvl w:val="0"/>
          <w:numId w:val="1007"/>
        </w:numPr>
      </w:pPr>
      <w:r>
        <w:t xml:space="preserve">Moov Money : 5 % (67 500 FCFA)</w:t>
      </w:r>
    </w:p>
    <w:p>
      <w:pPr>
        <w:pStyle w:val="Compact"/>
        <w:numPr>
          <w:ilvl w:val="0"/>
          <w:numId w:val="1007"/>
        </w:numPr>
      </w:pPr>
      <w:r>
        <w:t xml:space="preserve">Djamo : 5 % (67 500 FCFA)</w:t>
      </w:r>
    </w:p>
    <w:bookmarkEnd w:id="34"/>
    <w:bookmarkStart w:id="35" w:name="contribution-de-la-caisse-daimin"/>
    <w:p>
      <w:pPr>
        <w:pStyle w:val="Heading3"/>
      </w:pPr>
      <w:r>
        <w:t xml:space="preserve">8.4 Contribution de la caisse DAIMIN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Contribution de la caisse DAIMIN</w:t>
      </w:r>
      <w:r>
        <w:t xml:space="preserve"> </w:t>
      </w:r>
      <w:r>
        <w:t xml:space="preserve">: 200 000 FCFA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étail-des-dépenses"/>
    <w:p>
      <w:pPr>
        <w:pStyle w:val="Heading2"/>
      </w:pPr>
      <w:r>
        <w:t xml:space="preserve">9. Détail des dépenses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 de dépense</w:t>
            </w:r>
          </w:p>
        </w:tc>
        <w:tc>
          <w:tcPr/>
          <w:p>
            <w:pPr>
              <w:pStyle w:val="Compact"/>
            </w:pPr>
            <w:r>
              <w:t xml:space="preserve">Montant (FCFA)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Préparatifs de l’activité</w:t>
            </w:r>
          </w:p>
        </w:tc>
        <w:tc>
          <w:tcPr/>
          <w:p>
            <w:pPr>
              <w:pStyle w:val="Compact"/>
            </w:pPr>
            <w:r>
              <w:t xml:space="preserve">150 000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et acheminement</w:t>
            </w:r>
          </w:p>
        </w:tc>
        <w:tc>
          <w:tcPr/>
          <w:p>
            <w:pPr>
              <w:pStyle w:val="Compact"/>
            </w:pPr>
            <w:r>
              <w:t xml:space="preserve">120 000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Achat des kits Ramadan</w:t>
            </w:r>
          </w:p>
        </w:tc>
        <w:tc>
          <w:tcPr/>
          <w:p>
            <w:pPr>
              <w:pStyle w:val="Compact"/>
            </w:pPr>
            <w:r>
              <w:t xml:space="preserve">900 000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Imprévus</w:t>
            </w:r>
          </w:p>
        </w:tc>
        <w:tc>
          <w:tcPr/>
          <w:p>
            <w:pPr>
              <w:pStyle w:val="Compact"/>
            </w:pPr>
            <w:r>
              <w:t xml:space="preserve">80 000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dépensé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1 250 000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description-des-kits-distribués"/>
    <w:p>
      <w:pPr>
        <w:pStyle w:val="Heading2"/>
      </w:pPr>
      <w:r>
        <w:t xml:space="preserve">10. Description des kits distribués</w:t>
      </w:r>
    </w:p>
    <w:p>
      <w:pPr>
        <w:pStyle w:val="FirstParagraph"/>
      </w:pPr>
      <w:r>
        <w:t xml:space="preserve">Les kits Ramadan étaient composés des denrées suivantes :</w:t>
      </w:r>
      <w:r>
        <w:t xml:space="preserve"> </w:t>
      </w:r>
      <w:r>
        <w:t xml:space="preserve">- Riz</w:t>
      </w:r>
      <w:r>
        <w:t xml:space="preserve"> </w:t>
      </w:r>
      <w:r>
        <w:t xml:space="preserve">- Sucre</w:t>
      </w:r>
      <w:r>
        <w:t xml:space="preserve"> </w:t>
      </w:r>
      <w:r>
        <w:t xml:space="preserve">- Huile</w:t>
      </w:r>
      <w:r>
        <w:t xml:space="preserve"> </w:t>
      </w:r>
      <w:r>
        <w:t xml:space="preserve">- Pâtes alimentaires</w:t>
      </w:r>
      <w:r>
        <w:t xml:space="preserve"> </w:t>
      </w:r>
      <w:r>
        <w:t xml:space="preserve">- Lait</w:t>
      </w:r>
    </w:p>
    <w:p>
      <w:r>
        <w:pict>
          <v:rect style="width:0;height:1.5pt" o:hralign="center" o:hrstd="t" o:hr="t"/>
        </w:pict>
      </w:r>
    </w:p>
    <w:bookmarkEnd w:id="38"/>
    <w:bookmarkStart w:id="39" w:name="traçabilité-et-preuves-financières"/>
    <w:p>
      <w:pPr>
        <w:pStyle w:val="Heading2"/>
      </w:pPr>
      <w:r>
        <w:t xml:space="preserve">11. Traçabilité et preuves financières</w:t>
      </w:r>
    </w:p>
    <w:p>
      <w:pPr>
        <w:pStyle w:val="FirstParagraph"/>
      </w:pPr>
      <w:r>
        <w:t xml:space="preserve">Dans un souci de transparence, les éléments suivants ont été conservés :</w:t>
      </w:r>
      <w:r>
        <w:t xml:space="preserve"> </w:t>
      </w:r>
      <w:r>
        <w:t xml:space="preserve">- reçus de dons (espèces et numériques),</w:t>
      </w:r>
      <w:r>
        <w:t xml:space="preserve"> </w:t>
      </w:r>
      <w:r>
        <w:t xml:space="preserve">- captures d’écran des transactions,</w:t>
      </w:r>
      <w:r>
        <w:t xml:space="preserve"> </w:t>
      </w:r>
      <w:r>
        <w:t xml:space="preserve">- factures d’achat des kits.</w:t>
      </w:r>
    </w:p>
    <w:p>
      <w:pPr>
        <w:pStyle w:val="BodyText"/>
      </w:pPr>
      <w:r>
        <w:t xml:space="preserve">📎</w:t>
      </w:r>
      <w:r>
        <w:t xml:space="preserve"> </w:t>
      </w:r>
      <w:r>
        <w:rPr>
          <w:b/>
          <w:bCs/>
        </w:rPr>
        <w:t xml:space="preserve">Liens des reçus (exemples)</w:t>
      </w:r>
      <w:r>
        <w:t xml:space="preserve"> </w:t>
      </w:r>
      <w:r>
        <w:t xml:space="preserve">:</w:t>
      </w:r>
      <w:r>
        <w:t xml:space="preserve"> </w:t>
      </w:r>
      <w:r>
        <w:t xml:space="preserve">- Lien reçu Wave</w:t>
      </w:r>
      <w:r>
        <w:t xml:space="preserve"> </w:t>
      </w:r>
      <w:r>
        <w:t xml:space="preserve">- Lien reçu MTN MoMo</w:t>
      </w:r>
      <w:r>
        <w:t xml:space="preserve"> </w:t>
      </w:r>
      <w:r>
        <w:t xml:space="preserve">- Lien factures fournisseurs</w:t>
      </w:r>
    </w:p>
    <w:p>
      <w:r>
        <w:pict>
          <v:rect style="width:0;height:1.5pt" o:hralign="center" o:hrstd="t" o:hr="t"/>
        </w:pict>
      </w:r>
    </w:p>
    <w:bookmarkEnd w:id="39"/>
    <w:bookmarkStart w:id="40" w:name="résultats-et-impact-de-lactivité"/>
    <w:p>
      <w:pPr>
        <w:pStyle w:val="Heading2"/>
      </w:pPr>
      <w:r>
        <w:t xml:space="preserve">12. Résultats et impact de l’activité</w:t>
      </w:r>
    </w:p>
    <w:p>
      <w:pPr>
        <w:pStyle w:val="Compact"/>
        <w:numPr>
          <w:ilvl w:val="0"/>
          <w:numId w:val="1009"/>
        </w:numPr>
      </w:pPr>
      <w:r>
        <w:t xml:space="preserve">Nombre de familles bénéficiaires : 50 (fictif)</w:t>
      </w:r>
    </w:p>
    <w:p>
      <w:pPr>
        <w:pStyle w:val="Compact"/>
        <w:numPr>
          <w:ilvl w:val="0"/>
          <w:numId w:val="1009"/>
        </w:numPr>
      </w:pPr>
      <w:r>
        <w:t xml:space="preserve">Distribution effective des kits</w:t>
      </w:r>
    </w:p>
    <w:p>
      <w:pPr>
        <w:pStyle w:val="Compact"/>
        <w:numPr>
          <w:ilvl w:val="0"/>
          <w:numId w:val="1009"/>
        </w:numPr>
      </w:pPr>
      <w:r>
        <w:t xml:space="preserve">Impact positif sur les familles soutenues</w:t>
      </w:r>
    </w:p>
    <w:p>
      <w:r>
        <w:pict>
          <v:rect style="width:0;height:1.5pt" o:hralign="center" o:hrstd="t" o:hr="t"/>
        </w:pict>
      </w:r>
    </w:p>
    <w:bookmarkEnd w:id="40"/>
    <w:bookmarkStart w:id="41" w:name="difficultés-et-contraintes-rencontrées"/>
    <w:p>
      <w:pPr>
        <w:pStyle w:val="Heading2"/>
      </w:pPr>
      <w:r>
        <w:t xml:space="preserve">13. Difficultés et contraintes rencontrées</w:t>
      </w:r>
    </w:p>
    <w:p>
      <w:pPr>
        <w:pStyle w:val="Compact"/>
        <w:numPr>
          <w:ilvl w:val="0"/>
          <w:numId w:val="1010"/>
        </w:numPr>
      </w:pPr>
      <w:r>
        <w:t xml:space="preserve">Difficulté de suivi des lettres distribuées</w:t>
      </w:r>
    </w:p>
    <w:p>
      <w:pPr>
        <w:pStyle w:val="Compact"/>
        <w:numPr>
          <w:ilvl w:val="0"/>
          <w:numId w:val="1010"/>
        </w:numPr>
      </w:pPr>
      <w:r>
        <w:t xml:space="preserve">Dépôts de dons anonymes</w:t>
      </w:r>
    </w:p>
    <w:p>
      <w:pPr>
        <w:pStyle w:val="Compact"/>
        <w:numPr>
          <w:ilvl w:val="0"/>
          <w:numId w:val="1010"/>
        </w:numPr>
      </w:pPr>
      <w:r>
        <w:t xml:space="preserve">Contraintes logistiques et de temps</w:t>
      </w:r>
    </w:p>
    <w:p>
      <w:r>
        <w:pict>
          <v:rect style="width:0;height:1.5pt" o:hralign="center" o:hrstd="t" o:hr="t"/>
        </w:pict>
      </w:r>
    </w:p>
    <w:bookmarkEnd w:id="41"/>
    <w:bookmarkStart w:id="42" w:name="X87fae07fb3aef0e91ccd881b020e93226259746"/>
    <w:p>
      <w:pPr>
        <w:pStyle w:val="Heading2"/>
      </w:pPr>
      <w:r>
        <w:t xml:space="preserve">14. Approche d’amélioration proposée – Méthode YARA</w:t>
      </w:r>
    </w:p>
    <w:p>
      <w:pPr>
        <w:pStyle w:val="FirstParagraph"/>
      </w:pPr>
      <w:r>
        <w:t xml:space="preserve">La méthode YARA consiste à demander à chaque personne recevant une lettre de sollicitation de proposer une ou deux familles bénéficiaires. Cette approche permet :</w:t>
      </w:r>
      <w:r>
        <w:t xml:space="preserve"> </w:t>
      </w:r>
      <w:r>
        <w:t xml:space="preserve">- d’améliorer la traçabilité des dons,</w:t>
      </w:r>
      <w:r>
        <w:t xml:space="preserve"> </w:t>
      </w:r>
      <w:r>
        <w:t xml:space="preserve">- de rappeler indirectement aux donateurs d’effectuer leur dépôt,</w:t>
      </w:r>
      <w:r>
        <w:t xml:space="preserve"> </w:t>
      </w:r>
      <w:r>
        <w:t xml:space="preserve">- d’impliquer davantage les donateurs dans l’action sociale.</w:t>
      </w:r>
    </w:p>
    <w:p>
      <w:r>
        <w:pict>
          <v:rect style="width:0;height:1.5pt" o:hralign="center" o:hrstd="t" o:hr="t"/>
        </w:pict>
      </w:r>
    </w:p>
    <w:bookmarkEnd w:id="42"/>
    <w:bookmarkStart w:id="43" w:name="recommandations"/>
    <w:p>
      <w:pPr>
        <w:pStyle w:val="Heading2"/>
      </w:pPr>
      <w:r>
        <w:t xml:space="preserve">15. Recommandations</w:t>
      </w:r>
    </w:p>
    <w:p>
      <w:pPr>
        <w:pStyle w:val="Compact"/>
        <w:numPr>
          <w:ilvl w:val="0"/>
          <w:numId w:val="1011"/>
        </w:numPr>
      </w:pPr>
      <w:r>
        <w:t xml:space="preserve">Formaliser la méthode YARA pour les futures activités</w:t>
      </w:r>
    </w:p>
    <w:p>
      <w:pPr>
        <w:pStyle w:val="Compact"/>
        <w:numPr>
          <w:ilvl w:val="0"/>
          <w:numId w:val="1011"/>
        </w:numPr>
      </w:pPr>
      <w:r>
        <w:t xml:space="preserve">Centraliser les dons sur des canaux identifiés</w:t>
      </w:r>
    </w:p>
    <w:p>
      <w:pPr>
        <w:pStyle w:val="Compact"/>
        <w:numPr>
          <w:ilvl w:val="0"/>
          <w:numId w:val="1011"/>
        </w:numPr>
      </w:pPr>
      <w:r>
        <w:t xml:space="preserve">Mettre en place un registre numérique des dons</w:t>
      </w:r>
    </w:p>
    <w:p>
      <w:r>
        <w:pict>
          <v:rect style="width:0;height:1.5pt" o:hralign="center" o:hrstd="t" o:hr="t"/>
        </w:pict>
      </w:r>
    </w:p>
    <w:bookmarkEnd w:id="43"/>
    <w:bookmarkStart w:id="44" w:name="conclusion"/>
    <w:p>
      <w:pPr>
        <w:pStyle w:val="Heading2"/>
      </w:pPr>
      <w:r>
        <w:t xml:space="preserve">16. Conclusion</w:t>
      </w:r>
    </w:p>
    <w:p>
      <w:pPr>
        <w:pStyle w:val="FirstParagraph"/>
      </w:pPr>
      <w:r>
        <w:t xml:space="preserve">L’activité Ramadan 2026 de l’ONG DAIMIN a permis d’apporter un soutien significatif aux familles bénéficiaires. Malgré certaines difficultés, l’action a été globalement réussie et constitue une base solide pour les futures initiatives de l’ONG.</w:t>
      </w:r>
    </w:p>
    <w:p>
      <w:r>
        <w:pict>
          <v:rect style="width:0;height:1.5pt" o:hralign="center" o:hrstd="t" o:hr="t"/>
        </w:pict>
      </w:r>
    </w:p>
    <w:bookmarkEnd w:id="44"/>
    <w:bookmarkStart w:id="45" w:name="annexes"/>
    <w:p>
      <w:pPr>
        <w:pStyle w:val="Heading2"/>
      </w:pPr>
      <w:r>
        <w:t xml:space="preserve">17. Annexes</w:t>
      </w:r>
    </w:p>
    <w:p>
      <w:pPr>
        <w:pStyle w:val="Compact"/>
        <w:numPr>
          <w:ilvl w:val="0"/>
          <w:numId w:val="1012"/>
        </w:numPr>
      </w:pPr>
      <w:r>
        <w:t xml:space="preserve">Liste détaillée des participants</w:t>
      </w:r>
    </w:p>
    <w:p>
      <w:pPr>
        <w:pStyle w:val="Compact"/>
        <w:numPr>
          <w:ilvl w:val="0"/>
          <w:numId w:val="1012"/>
        </w:numPr>
      </w:pPr>
      <w:r>
        <w:t xml:space="preserve">Tableaux financiers détaillés</w:t>
      </w:r>
    </w:p>
    <w:p>
      <w:pPr>
        <w:pStyle w:val="Compact"/>
        <w:numPr>
          <w:ilvl w:val="0"/>
          <w:numId w:val="1012"/>
        </w:numPr>
      </w:pPr>
      <w:r>
        <w:t xml:space="preserve">Copies et liens des reçus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Fait pour servir et valoir ce que de droit.</w:t>
      </w:r>
    </w:p>
    <w:p>
      <w:pPr>
        <w:pStyle w:val="BodyText"/>
      </w:pPr>
      <w:r>
        <w:t xml:space="preserve">Signature :</w:t>
      </w:r>
      <w:r>
        <w:br/>
      </w:r>
      <w:r>
        <w:t xml:space="preserve">Le Trésorier de l’ONG DAIMIN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2026-02-11T00:30:51Z</dcterms:created>
  <dcterms:modified xsi:type="dcterms:W3CDTF">2026-02-11T00:30:51Z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