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ong-daimin"/>
    <w:p>
      <w:pPr>
        <w:pStyle w:val="Heading1"/>
      </w:pPr>
      <w:r>
        <w:t xml:space="preserve">ONG DAIMIN</w:t>
      </w:r>
    </w:p>
    <w:bookmarkStart w:id="40" w:name="X22f3898f7e151d37d4b7f43e4eb374b15f3e5cd"/>
    <w:p>
      <w:pPr>
        <w:pStyle w:val="Heading2"/>
      </w:pPr>
      <w:r>
        <w:t xml:space="preserve">Rapport financier et opérationnel – Activité Ramadan 2026</w:t>
      </w:r>
    </w:p>
    <w:p>
      <w:r>
        <w:pict>
          <v:rect style="width:0;height:1.5pt" o:hralign="center" o:hrstd="t" o:hr="t"/>
        </w:pict>
      </w:r>
    </w:p>
    <w:bookmarkStart w:id="20" w:name="informations-générales"/>
    <w:p>
      <w:pPr>
        <w:pStyle w:val="Heading3"/>
      </w:pPr>
      <w:r>
        <w:t xml:space="preserve">1. Informations générales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 de l’ONG</w:t>
      </w:r>
      <w:r>
        <w:t xml:space="preserve"> </w:t>
      </w:r>
      <w:r>
        <w:t xml:space="preserve">: DAIMIN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Activité</w:t>
      </w:r>
      <w:r>
        <w:t xml:space="preserve"> </w:t>
      </w:r>
      <w:r>
        <w:t xml:space="preserve">: Action sociale – Distribution de kits Ramadan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Période</w:t>
      </w:r>
      <w:r>
        <w:t xml:space="preserve"> </w:t>
      </w:r>
      <w:r>
        <w:t xml:space="preserve">: Mois de Ramadan 2026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Responsable du rapport</w:t>
      </w:r>
      <w:r>
        <w:t xml:space="preserve"> </w:t>
      </w:r>
      <w:r>
        <w:t xml:space="preserve">: Trésorier de l’ONG DAIMIN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Objectif de l’activité</w:t>
      </w:r>
      <w:r>
        <w:t xml:space="preserve"> </w:t>
      </w:r>
      <w:r>
        <w:t xml:space="preserve">: Soutenir des familles vulnérables durant le mois de Ramadan à travers la distribution de kits alimentaires et d’aides financières.</w:t>
      </w:r>
    </w:p>
    <w:p>
      <w:r>
        <w:pict>
          <v:rect style="width:0;height:1.5pt" o:hralign="center" o:hrstd="t" o:hr="t"/>
        </w:pict>
      </w:r>
    </w:p>
    <w:bookmarkEnd w:id="20"/>
    <w:bookmarkStart w:id="21" w:name="objectifs-spécifiques"/>
    <w:p>
      <w:pPr>
        <w:pStyle w:val="Heading3"/>
      </w:pPr>
      <w:r>
        <w:t xml:space="preserve">2. Objectifs spécifiques</w:t>
      </w:r>
    </w:p>
    <w:p>
      <w:pPr>
        <w:pStyle w:val="Compact"/>
        <w:numPr>
          <w:ilvl w:val="0"/>
          <w:numId w:val="1002"/>
        </w:numPr>
      </w:pPr>
      <w:r>
        <w:t xml:space="preserve">Apporter une aide alimentaire aux familles démunies</w:t>
      </w:r>
    </w:p>
    <w:p>
      <w:pPr>
        <w:pStyle w:val="Compact"/>
        <w:numPr>
          <w:ilvl w:val="0"/>
          <w:numId w:val="1002"/>
        </w:numPr>
      </w:pPr>
      <w:r>
        <w:t xml:space="preserve">Mobiliser des dons internes et externes</w:t>
      </w:r>
    </w:p>
    <w:p>
      <w:pPr>
        <w:pStyle w:val="Compact"/>
        <w:numPr>
          <w:ilvl w:val="0"/>
          <w:numId w:val="1002"/>
        </w:numPr>
      </w:pPr>
      <w:r>
        <w:t xml:space="preserve">Assurer une gestion transparente et traçable des fonds</w:t>
      </w:r>
    </w:p>
    <w:p>
      <w:pPr>
        <w:pStyle w:val="Compact"/>
        <w:numPr>
          <w:ilvl w:val="0"/>
          <w:numId w:val="1002"/>
        </w:numPr>
      </w:pPr>
      <w:r>
        <w:t xml:space="preserve">Renforcer la crédibilité et la confiance autour des actions de l’ONG</w:t>
      </w:r>
    </w:p>
    <w:p>
      <w:r>
        <w:pict>
          <v:rect style="width:0;height:1.5pt" o:hralign="center" o:hrstd="t" o:hr="t"/>
        </w:pict>
      </w:r>
    </w:p>
    <w:bookmarkEnd w:id="21"/>
    <w:bookmarkStart w:id="24" w:name="participants"/>
    <w:p>
      <w:pPr>
        <w:pStyle w:val="Heading3"/>
      </w:pPr>
      <w:r>
        <w:t xml:space="preserve">3. Participants</w:t>
      </w:r>
    </w:p>
    <w:bookmarkStart w:id="22" w:name="participants-internes-membres-de-long"/>
    <w:p>
      <w:pPr>
        <w:pStyle w:val="Heading4"/>
      </w:pPr>
      <w:r>
        <w:t xml:space="preserve">3.1 Participants internes (membres de l’ONG)</w:t>
      </w:r>
    </w:p>
    <w:p>
      <w:pPr>
        <w:pStyle w:val="Compact"/>
        <w:numPr>
          <w:ilvl w:val="0"/>
          <w:numId w:val="1003"/>
        </w:numPr>
      </w:pPr>
      <w:r>
        <w:t xml:space="preserve">Membres du bureau exécutif</w:t>
      </w:r>
    </w:p>
    <w:p>
      <w:pPr>
        <w:pStyle w:val="Compact"/>
        <w:numPr>
          <w:ilvl w:val="0"/>
          <w:numId w:val="1003"/>
        </w:numPr>
      </w:pPr>
      <w:r>
        <w:t xml:space="preserve">Volontaires DAIMIN</w:t>
      </w:r>
    </w:p>
    <w:p>
      <w:pPr>
        <w:pStyle w:val="Compact"/>
        <w:numPr>
          <w:ilvl w:val="0"/>
          <w:numId w:val="1003"/>
        </w:numPr>
      </w:pPr>
      <w:r>
        <w:t xml:space="preserve">Équipe logistique et financière</w:t>
      </w:r>
    </w:p>
    <w:p>
      <w:pPr>
        <w:pStyle w:val="FirstParagraph"/>
      </w:pPr>
      <w:r>
        <w:rPr>
          <w:i/>
          <w:iCs/>
        </w:rPr>
        <w:t xml:space="preserve">(Liste détaillée à joindre en annexe si nécessaire)</w:t>
      </w:r>
    </w:p>
    <w:bookmarkEnd w:id="22"/>
    <w:bookmarkStart w:id="23" w:name="participants-externes"/>
    <w:p>
      <w:pPr>
        <w:pStyle w:val="Heading4"/>
      </w:pPr>
      <w:r>
        <w:t xml:space="preserve">3.2 Participants externes</w:t>
      </w:r>
    </w:p>
    <w:p>
      <w:pPr>
        <w:pStyle w:val="Compact"/>
        <w:numPr>
          <w:ilvl w:val="0"/>
          <w:numId w:val="1004"/>
        </w:numPr>
      </w:pPr>
      <w:r>
        <w:t xml:space="preserve">Donateurs externes (connus et anonymes)</w:t>
      </w:r>
    </w:p>
    <w:p>
      <w:pPr>
        <w:pStyle w:val="Compact"/>
        <w:numPr>
          <w:ilvl w:val="0"/>
          <w:numId w:val="1004"/>
        </w:numPr>
      </w:pPr>
      <w:r>
        <w:t xml:space="preserve">Bénéficiaires directs (familles)</w:t>
      </w:r>
    </w:p>
    <w:p>
      <w:pPr>
        <w:pStyle w:val="Compact"/>
        <w:numPr>
          <w:ilvl w:val="0"/>
          <w:numId w:val="1004"/>
        </w:numPr>
      </w:pPr>
      <w:r>
        <w:t xml:space="preserve">Personnes ayant reçu des lettres de sollicitation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éthodologie-de-mobilisation-des-dons"/>
    <w:p>
      <w:pPr>
        <w:pStyle w:val="Heading3"/>
      </w:pPr>
      <w:r>
        <w:t xml:space="preserve">4. Méthodologie de mobilisation des dons</w:t>
      </w:r>
    </w:p>
    <w:p>
      <w:pPr>
        <w:pStyle w:val="Compact"/>
        <w:numPr>
          <w:ilvl w:val="0"/>
          <w:numId w:val="1005"/>
        </w:numPr>
      </w:pPr>
      <w:r>
        <w:t xml:space="preserve">Distribution de lettres de sollicitation</w:t>
      </w:r>
    </w:p>
    <w:p>
      <w:pPr>
        <w:pStyle w:val="Compact"/>
        <w:numPr>
          <w:ilvl w:val="0"/>
          <w:numId w:val="1005"/>
        </w:numPr>
      </w:pPr>
      <w:r>
        <w:t xml:space="preserve">Dons directs en espèces</w:t>
      </w:r>
    </w:p>
    <w:p>
      <w:pPr>
        <w:pStyle w:val="Compact"/>
        <w:numPr>
          <w:ilvl w:val="0"/>
          <w:numId w:val="1005"/>
        </w:numPr>
      </w:pPr>
      <w:r>
        <w:t xml:space="preserve">Dons via mobile money et solutions digitales</w:t>
      </w:r>
    </w:p>
    <w:bookmarkStart w:id="25" w:name="difficulté-rencontrée"/>
    <w:p>
      <w:pPr>
        <w:pStyle w:val="Heading4"/>
      </w:pPr>
      <w:r>
        <w:t xml:space="preserve">Difficulté rencontrée</w:t>
      </w:r>
    </w:p>
    <w:p>
      <w:pPr>
        <w:pStyle w:val="FirstParagraph"/>
      </w:pPr>
      <w:r>
        <w:t xml:space="preserve">Il a été constaté une</w:t>
      </w:r>
      <w:r>
        <w:t xml:space="preserve"> </w:t>
      </w:r>
      <w:r>
        <w:rPr>
          <w:b/>
          <w:bCs/>
        </w:rPr>
        <w:t xml:space="preserve">difficulté de suivi des lettres distribuées</w:t>
      </w:r>
      <w:r>
        <w:t xml:space="preserve">, principalement en raison de :</w:t>
      </w:r>
      <w:r>
        <w:t xml:space="preserve"> </w:t>
      </w:r>
      <w:r>
        <w:t xml:space="preserve">- dépôts anonymes,</w:t>
      </w:r>
      <w:r>
        <w:t xml:space="preserve"> </w:t>
      </w:r>
      <w:r>
        <w:t xml:space="preserve">- absence de lien direct avec certaines personnes ayant reçu les lettres,</w:t>
      </w:r>
      <w:r>
        <w:t xml:space="preserve"> </w:t>
      </w:r>
      <w:r>
        <w:t xml:space="preserve">- impossibilité de relancer efficacement les donateurs.</w:t>
      </w:r>
    </w:p>
    <w:bookmarkEnd w:id="25"/>
    <w:bookmarkStart w:id="26" w:name="proposition-damélioration-méthode-yara"/>
    <w:p>
      <w:pPr>
        <w:pStyle w:val="Heading4"/>
      </w:pPr>
      <w:r>
        <w:t xml:space="preserve">Proposition d’amélioration (Méthode YARA)</w:t>
      </w:r>
    </w:p>
    <w:p>
      <w:pPr>
        <w:pStyle w:val="FirstParagraph"/>
      </w:pPr>
      <w:r>
        <w:t xml:space="preserve">Mise en place de la</w:t>
      </w:r>
      <w:r>
        <w:t xml:space="preserve"> </w:t>
      </w:r>
      <w:r>
        <w:rPr>
          <w:b/>
          <w:bCs/>
        </w:rPr>
        <w:t xml:space="preserve">méthode YARA</w:t>
      </w:r>
      <w:r>
        <w:t xml:space="preserve">, qui consiste à :</w:t>
      </w:r>
      <w:r>
        <w:t xml:space="preserve"> </w:t>
      </w:r>
      <w:r>
        <w:t xml:space="preserve">- demander à chaque personne recevant une lettre de</w:t>
      </w:r>
      <w:r>
        <w:t xml:space="preserve"> </w:t>
      </w:r>
      <w:r>
        <w:rPr>
          <w:b/>
          <w:bCs/>
        </w:rPr>
        <w:t xml:space="preserve">proposer une ou deux familles bénéficiaires</w:t>
      </w:r>
      <w:r>
        <w:t xml:space="preserve">,</w:t>
      </w:r>
      <w:r>
        <w:t xml:space="preserve"> </w:t>
      </w:r>
      <w:r>
        <w:t xml:space="preserve">- orienter directement les dons vers ces familles,</w:t>
      </w:r>
      <w:r>
        <w:t xml:space="preserve"> </w:t>
      </w:r>
      <w:r>
        <w:t xml:space="preserve">- créer un rappel naturel et indirect pour le dépôt des dons,</w:t>
      </w:r>
      <w:r>
        <w:t xml:space="preserve"> </w:t>
      </w:r>
      <w:r>
        <w:t xml:space="preserve">- améliorer la traçabilité et l’impact social.</w:t>
      </w:r>
    </w:p>
    <w:p>
      <w:pPr>
        <w:pStyle w:val="BodyText"/>
      </w:pPr>
      <w:r>
        <w:t xml:space="preserve">Cette méthode permettra également d’impliquer davantage les donateurs dans l’action sociale.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budget"/>
    <w:p>
      <w:pPr>
        <w:pStyle w:val="Heading3"/>
      </w:pPr>
      <w:r>
        <w:t xml:space="preserve">5. Budget</w:t>
      </w:r>
    </w:p>
    <w:bookmarkStart w:id="28" w:name="budget-demandé-prévisionnel"/>
    <w:p>
      <w:pPr>
        <w:pStyle w:val="Heading4"/>
      </w:pPr>
      <w:r>
        <w:t xml:space="preserve">5.1 Budget demandé (prévisionnel)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Budget total demandé</w:t>
      </w:r>
      <w:r>
        <w:t xml:space="preserve"> </w:t>
      </w:r>
      <w:r>
        <w:t xml:space="preserve">: 1 500 000 FCFA</w:t>
      </w:r>
    </w:p>
    <w:bookmarkEnd w:id="28"/>
    <w:bookmarkStart w:id="30" w:name="budget-reçu"/>
    <w:p>
      <w:pPr>
        <w:pStyle w:val="Heading4"/>
      </w:pPr>
      <w:r>
        <w:t xml:space="preserve">5.2 Budget reçu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 reçu</w:t>
      </w:r>
      <w:r>
        <w:t xml:space="preserve"> </w:t>
      </w:r>
      <w:r>
        <w:t xml:space="preserve">: 1 350 000 FCFA</w:t>
      </w:r>
    </w:p>
    <w:bookmarkStart w:id="29" w:name="X236a45302858004fe55295c25e986bf2ab7ecf4"/>
    <w:p>
      <w:pPr>
        <w:pStyle w:val="Heading5"/>
      </w:pPr>
      <w:r>
        <w:t xml:space="preserve">Répartition par mode de paiement (pourcentages fictifs)</w:t>
      </w:r>
    </w:p>
    <w:p>
      <w:pPr>
        <w:pStyle w:val="Compact"/>
        <w:numPr>
          <w:ilvl w:val="0"/>
          <w:numId w:val="1008"/>
        </w:numPr>
      </w:pPr>
      <w:r>
        <w:t xml:space="preserve">Espèces : 40 % (540 000 FCFA)</w:t>
      </w:r>
    </w:p>
    <w:p>
      <w:pPr>
        <w:pStyle w:val="Compact"/>
        <w:numPr>
          <w:ilvl w:val="0"/>
          <w:numId w:val="1008"/>
        </w:numPr>
      </w:pPr>
      <w:r>
        <w:t xml:space="preserve">Wave : 25 % (337 500 FCFA)</w:t>
      </w:r>
    </w:p>
    <w:p>
      <w:pPr>
        <w:pStyle w:val="Compact"/>
        <w:numPr>
          <w:ilvl w:val="0"/>
          <w:numId w:val="1008"/>
        </w:numPr>
      </w:pPr>
      <w:r>
        <w:t xml:space="preserve">MTN MoMo : 15 % (202 500 FCFA)</w:t>
      </w:r>
    </w:p>
    <w:p>
      <w:pPr>
        <w:pStyle w:val="Compact"/>
        <w:numPr>
          <w:ilvl w:val="0"/>
          <w:numId w:val="1008"/>
        </w:numPr>
      </w:pPr>
      <w:r>
        <w:t xml:space="preserve">Orange Money : 10 % (135 000 FCFA)</w:t>
      </w:r>
    </w:p>
    <w:p>
      <w:pPr>
        <w:pStyle w:val="Compact"/>
        <w:numPr>
          <w:ilvl w:val="0"/>
          <w:numId w:val="1008"/>
        </w:numPr>
      </w:pPr>
      <w:r>
        <w:t xml:space="preserve">Moov Money : 5 % (67 500 FCFA)</w:t>
      </w:r>
    </w:p>
    <w:p>
      <w:pPr>
        <w:pStyle w:val="Compact"/>
        <w:numPr>
          <w:ilvl w:val="0"/>
          <w:numId w:val="1008"/>
        </w:numPr>
      </w:pPr>
      <w:r>
        <w:t xml:space="preserve">Djamo : 5 % (67 500 FCFA)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contribution-de-la-caisse-daimin"/>
    <w:p>
      <w:pPr>
        <w:pStyle w:val="Heading3"/>
      </w:pPr>
      <w:r>
        <w:t xml:space="preserve">6. Contribution de la caisse DAIMIN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Montant apporté par la caisse DAIMIN</w:t>
      </w:r>
      <w:r>
        <w:t xml:space="preserve"> </w:t>
      </w:r>
      <w:r>
        <w:t xml:space="preserve">: 200 000 FCFA</w:t>
      </w:r>
    </w:p>
    <w:p>
      <w:r>
        <w:pict>
          <v:rect style="width:0;height:1.5pt" o:hralign="center" o:hrstd="t" o:hr="t"/>
        </w:pict>
      </w:r>
    </w:p>
    <w:bookmarkEnd w:id="32"/>
    <w:bookmarkStart w:id="33" w:name="budget-dépensé"/>
    <w:p>
      <w:pPr>
        <w:pStyle w:val="Heading3"/>
      </w:pPr>
      <w:r>
        <w:t xml:space="preserve">7. Budget dépensé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 de dépense</w:t>
            </w:r>
          </w:p>
        </w:tc>
        <w:tc>
          <w:tcPr/>
          <w:p>
            <w:pPr>
              <w:pStyle w:val="Compact"/>
            </w:pPr>
            <w:r>
              <w:t xml:space="preserve">Montant (FCFA)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Préparatifs de l’activité</w:t>
            </w:r>
          </w:p>
        </w:tc>
        <w:tc>
          <w:tcPr/>
          <w:p>
            <w:pPr>
              <w:pStyle w:val="Compact"/>
            </w:pPr>
            <w:r>
              <w:t xml:space="preserve">150 000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(achats &amp; acheminement)</w:t>
            </w:r>
          </w:p>
        </w:tc>
        <w:tc>
          <w:tcPr/>
          <w:p>
            <w:pPr>
              <w:pStyle w:val="Compact"/>
            </w:pPr>
            <w:r>
              <w:t xml:space="preserve">120 000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Achat des kits Ramadan</w:t>
            </w:r>
          </w:p>
        </w:tc>
        <w:tc>
          <w:tcPr/>
          <w:p>
            <w:pPr>
              <w:pStyle w:val="Compact"/>
            </w:pPr>
            <w:r>
              <w:t xml:space="preserve">900 000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Imprévus</w:t>
            </w:r>
          </w:p>
        </w:tc>
        <w:tc>
          <w:tcPr/>
          <w:p>
            <w:pPr>
              <w:pStyle w:val="Compact"/>
            </w:pPr>
            <w:r>
              <w:t xml:space="preserve">80 000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dépensé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1 250 000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étail-des-kits-ramadan"/>
    <w:p>
      <w:pPr>
        <w:pStyle w:val="Heading3"/>
      </w:pPr>
      <w:r>
        <w:t xml:space="preserve">8. Détail des kits Ramadan</w:t>
      </w:r>
    </w:p>
    <w:p>
      <w:pPr>
        <w:pStyle w:val="Compact"/>
        <w:numPr>
          <w:ilvl w:val="0"/>
          <w:numId w:val="1010"/>
        </w:numPr>
      </w:pPr>
      <w:r>
        <w:t xml:space="preserve">Riz</w:t>
      </w:r>
    </w:p>
    <w:p>
      <w:pPr>
        <w:pStyle w:val="Compact"/>
        <w:numPr>
          <w:ilvl w:val="0"/>
          <w:numId w:val="1010"/>
        </w:numPr>
      </w:pPr>
      <w:r>
        <w:t xml:space="preserve">Sucre</w:t>
      </w:r>
    </w:p>
    <w:p>
      <w:pPr>
        <w:pStyle w:val="Compact"/>
        <w:numPr>
          <w:ilvl w:val="0"/>
          <w:numId w:val="1010"/>
        </w:numPr>
      </w:pPr>
      <w:r>
        <w:t xml:space="preserve">Huile</w:t>
      </w:r>
    </w:p>
    <w:p>
      <w:pPr>
        <w:pStyle w:val="Compact"/>
        <w:numPr>
          <w:ilvl w:val="0"/>
          <w:numId w:val="1010"/>
        </w:numPr>
      </w:pPr>
      <w:r>
        <w:t xml:space="preserve">Pâtes alimentaires</w:t>
      </w:r>
    </w:p>
    <w:p>
      <w:pPr>
        <w:pStyle w:val="Compact"/>
        <w:numPr>
          <w:ilvl w:val="0"/>
          <w:numId w:val="1010"/>
        </w:numPr>
      </w:pPr>
      <w:r>
        <w:t xml:space="preserve">Lait</w:t>
      </w:r>
    </w:p>
    <w:p>
      <w:pPr>
        <w:pStyle w:val="Compact"/>
        <w:numPr>
          <w:ilvl w:val="0"/>
          <w:numId w:val="1010"/>
        </w:numPr>
      </w:pPr>
      <w:r>
        <w:t xml:space="preserve">Autres denrées de base</w:t>
      </w:r>
    </w:p>
    <w:p>
      <w:pPr>
        <w:pStyle w:val="FirstParagraph"/>
      </w:pPr>
      <w:r>
        <w:rPr>
          <w:i/>
          <w:iCs/>
        </w:rPr>
        <w:t xml:space="preserve">(Quantités et fournisseurs à préciser)</w:t>
      </w:r>
    </w:p>
    <w:p>
      <w:r>
        <w:pict>
          <v:rect style="width:0;height:1.5pt" o:hralign="center" o:hrstd="t" o:hr="t"/>
        </w:pict>
      </w:r>
    </w:p>
    <w:bookmarkEnd w:id="34"/>
    <w:bookmarkStart w:id="35" w:name="preuves-et-traçabilité"/>
    <w:p>
      <w:pPr>
        <w:pStyle w:val="Heading3"/>
      </w:pPr>
      <w:r>
        <w:t xml:space="preserve">9. Preuves et traçabilité</w:t>
      </w:r>
    </w:p>
    <w:p>
      <w:pPr>
        <w:pStyle w:val="FirstParagraph"/>
      </w:pPr>
      <w:r>
        <w:t xml:space="preserve">Pour garantir la transparence, les éléments suivants sont conservés :</w:t>
      </w:r>
      <w:r>
        <w:t xml:space="preserve"> </w:t>
      </w:r>
      <w:r>
        <w:t xml:space="preserve">- Reçus de paiements (espèces et électroniques)</w:t>
      </w:r>
      <w:r>
        <w:t xml:space="preserve"> </w:t>
      </w:r>
      <w:r>
        <w:t xml:space="preserve">- Captures d’écran des transactions (Wave, MTN, Orange, Moov, Djamo)</w:t>
      </w:r>
      <w:r>
        <w:t xml:space="preserve"> </w:t>
      </w:r>
      <w:r>
        <w:t xml:space="preserve">- Factures d’achat des kits</w:t>
      </w:r>
      <w:r>
        <w:t xml:space="preserve"> </w:t>
      </w:r>
      <w:r>
        <w:t xml:space="preserve">- Liens vers les reçus numériques</w:t>
      </w:r>
    </w:p>
    <w:p>
      <w:pPr>
        <w:pStyle w:val="BodyText"/>
      </w:pPr>
      <w:r>
        <w:t xml:space="preserve">📎</w:t>
      </w:r>
      <w:r>
        <w:t xml:space="preserve"> </w:t>
      </w:r>
      <w:r>
        <w:rPr>
          <w:b/>
          <w:bCs/>
        </w:rPr>
        <w:t xml:space="preserve">Liens des reçus</w:t>
      </w:r>
      <w:r>
        <w:t xml:space="preserve"> </w:t>
      </w:r>
      <w:r>
        <w:t xml:space="preserve">:</w:t>
      </w:r>
      <w:r>
        <w:t xml:space="preserve"> </w:t>
      </w:r>
      <w:r>
        <w:t xml:space="preserve">- [Lien reçu Wave – exemple]</w:t>
      </w:r>
      <w:r>
        <w:t xml:space="preserve"> </w:t>
      </w:r>
      <w:r>
        <w:t xml:space="preserve">- [Lien reçu MTN – exemple]</w:t>
      </w:r>
      <w:r>
        <w:t xml:space="preserve"> </w:t>
      </w:r>
      <w:r>
        <w:t xml:space="preserve">- [Lien reçu achats kits – exemple]</w:t>
      </w:r>
    </w:p>
    <w:p>
      <w:r>
        <w:pict>
          <v:rect style="width:0;height:1.5pt" o:hralign="center" o:hrstd="t" o:hr="t"/>
        </w:pict>
      </w:r>
    </w:p>
    <w:bookmarkEnd w:id="35"/>
    <w:bookmarkStart w:id="36" w:name="résultats-obtenus"/>
    <w:p>
      <w:pPr>
        <w:pStyle w:val="Heading3"/>
      </w:pPr>
      <w:r>
        <w:t xml:space="preserve">10. Résultats obtenus</w:t>
      </w:r>
    </w:p>
    <w:p>
      <w:pPr>
        <w:pStyle w:val="Compact"/>
        <w:numPr>
          <w:ilvl w:val="0"/>
          <w:numId w:val="1011"/>
        </w:numPr>
      </w:pPr>
      <w:r>
        <w:t xml:space="preserve">Nombre de familles bénéficiaires : 50 (fictif)</w:t>
      </w:r>
    </w:p>
    <w:p>
      <w:pPr>
        <w:pStyle w:val="Compact"/>
        <w:numPr>
          <w:ilvl w:val="0"/>
          <w:numId w:val="1011"/>
        </w:numPr>
      </w:pPr>
      <w:r>
        <w:t xml:space="preserve">Kits distribués avec succès</w:t>
      </w:r>
    </w:p>
    <w:p>
      <w:pPr>
        <w:pStyle w:val="Compact"/>
        <w:numPr>
          <w:ilvl w:val="0"/>
          <w:numId w:val="1011"/>
        </w:numPr>
      </w:pPr>
      <w:r>
        <w:t xml:space="preserve">Satisfaction globale des bénéficiaires</w:t>
      </w:r>
    </w:p>
    <w:p>
      <w:pPr>
        <w:pStyle w:val="Compact"/>
        <w:numPr>
          <w:ilvl w:val="0"/>
          <w:numId w:val="1011"/>
        </w:numPr>
      </w:pPr>
      <w:r>
        <w:t xml:space="preserve">Bonne mobilisation communautaire</w:t>
      </w:r>
    </w:p>
    <w:p>
      <w:r>
        <w:pict>
          <v:rect style="width:0;height:1.5pt" o:hralign="center" o:hrstd="t" o:hr="t"/>
        </w:pict>
      </w:r>
    </w:p>
    <w:bookmarkEnd w:id="36"/>
    <w:bookmarkStart w:id="37" w:name="difficultés-et-contraintes"/>
    <w:p>
      <w:pPr>
        <w:pStyle w:val="Heading3"/>
      </w:pPr>
      <w:r>
        <w:t xml:space="preserve">11. Difficultés et contraintes</w:t>
      </w:r>
    </w:p>
    <w:p>
      <w:pPr>
        <w:pStyle w:val="Compact"/>
        <w:numPr>
          <w:ilvl w:val="0"/>
          <w:numId w:val="1012"/>
        </w:numPr>
      </w:pPr>
      <w:r>
        <w:t xml:space="preserve">Suivi difficile des dons anonymes</w:t>
      </w:r>
    </w:p>
    <w:p>
      <w:pPr>
        <w:pStyle w:val="Compact"/>
        <w:numPr>
          <w:ilvl w:val="0"/>
          <w:numId w:val="1012"/>
        </w:numPr>
      </w:pPr>
      <w:r>
        <w:t xml:space="preserve">Retards dans certaines contributions</w:t>
      </w:r>
    </w:p>
    <w:p>
      <w:pPr>
        <w:pStyle w:val="Compact"/>
        <w:numPr>
          <w:ilvl w:val="0"/>
          <w:numId w:val="1012"/>
        </w:numPr>
      </w:pPr>
      <w:r>
        <w:t xml:space="preserve">Gestion logistique sous contrainte de temps</w:t>
      </w:r>
    </w:p>
    <w:p>
      <w:r>
        <w:pict>
          <v:rect style="width:0;height:1.5pt" o:hralign="center" o:hrstd="t" o:hr="t"/>
        </w:pict>
      </w:r>
    </w:p>
    <w:bookmarkEnd w:id="37"/>
    <w:bookmarkStart w:id="38" w:name="recommandations"/>
    <w:p>
      <w:pPr>
        <w:pStyle w:val="Heading3"/>
      </w:pPr>
      <w:r>
        <w:t xml:space="preserve">12. Recommandations</w:t>
      </w:r>
    </w:p>
    <w:p>
      <w:pPr>
        <w:pStyle w:val="Compact"/>
        <w:numPr>
          <w:ilvl w:val="0"/>
          <w:numId w:val="1013"/>
        </w:numPr>
      </w:pPr>
      <w:r>
        <w:t xml:space="preserve">Formaliser la méthode YARA pour les prochaines activités</w:t>
      </w:r>
    </w:p>
    <w:p>
      <w:pPr>
        <w:pStyle w:val="Compact"/>
        <w:numPr>
          <w:ilvl w:val="0"/>
          <w:numId w:val="1013"/>
        </w:numPr>
      </w:pPr>
      <w:r>
        <w:t xml:space="preserve">Centraliser les dons via des canaux identifiés</w:t>
      </w:r>
    </w:p>
    <w:p>
      <w:pPr>
        <w:pStyle w:val="Compact"/>
        <w:numPr>
          <w:ilvl w:val="0"/>
          <w:numId w:val="1013"/>
        </w:numPr>
      </w:pPr>
      <w:r>
        <w:t xml:space="preserve">Mettre en place un registre numérique des dons</w:t>
      </w:r>
    </w:p>
    <w:p>
      <w:pPr>
        <w:pStyle w:val="Compact"/>
        <w:numPr>
          <w:ilvl w:val="0"/>
          <w:numId w:val="1013"/>
        </w:numPr>
      </w:pPr>
      <w:r>
        <w:t xml:space="preserve">Sensibiliser davantage sur l’importance de la traçabilité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3"/>
      </w:pPr>
      <w:r>
        <w:t xml:space="preserve">13. Conclusion</w:t>
      </w:r>
    </w:p>
    <w:p>
      <w:pPr>
        <w:pStyle w:val="FirstParagraph"/>
      </w:pPr>
      <w:r>
        <w:t xml:space="preserve">L’activité Ramadan 2026 de l’ONG DAIMIN a été une réussite malgré certaines contraintes. Elle a permis d’apporter un soutien concret aux familles bénéficiaires et de renforcer l’image de l’ONG. Les enseignements tirés permettront d’améliorer les futures actions humanitaires.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Fait pour servir et valoir ce que de droit.</w:t>
      </w:r>
    </w:p>
    <w:p>
      <w:pPr>
        <w:pStyle w:val="BodyText"/>
      </w:pPr>
      <w:r>
        <w:t xml:space="preserve">Signature :</w:t>
      </w:r>
      <w:r>
        <w:br/>
      </w:r>
      <w:r>
        <w:t xml:space="preserve">Le Trésorier de l’ONG DAIMIN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2026-02-11T00:24:28Z</dcterms:created>
  <dcterms:modified xsi:type="dcterms:W3CDTF">2026-02-11T00:24:28Z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