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Dobieranie parametrów lokalnych regulatorów oraz opdowiedzi skokowych.</w:t>
      </w:r>
    </w:p>
    <w:p>
      <w:pPr>
        <w:pStyle w:val="Normal"/>
        <w:rPr/>
      </w:pPr>
      <w:r>
        <w:rPr/>
        <w:t>W obu przypadkach zarówno regulacji rozmytej 50 regulatorami, jak i 15 regulatorami zdecydowaliśmy się na podział zakresu wyjściowego naszego obiektu, odczytanego z zamieszczonej poniżej charakterystyki statycznej. Przedział ten wynosi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2017-06-16T07:51:07Z</dcterms:created>
  <dc:creator/>
  <dc:description/>
  <dc:language>pl-PL</dc:language>
  <cp:lastModifiedBy/>
  <dcterms:modified xsi:type="dcterms:W3CDTF">2017-06-16T08:15:35Z</dcterms:modified>
  <cp:revision>1</cp:revision>
  <dc:subject/>
  <dc:title/>
</cp:coreProperties>
</file>