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s2sosmyw3n5" w:id="0"/>
      <w:bookmarkEnd w:id="0"/>
      <w:r w:rsidDel="00000000" w:rsidR="00000000" w:rsidRPr="00000000">
        <w:rPr>
          <w:rtl w:val="0"/>
        </w:rPr>
        <w:t xml:space="preserve">Class exercise: create a country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before="40" w:lineRule="auto"/>
        <w:jc w:val="both"/>
        <w:rPr/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Community: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Topic: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Information environment</w:t>
      </w:r>
    </w:p>
    <w:p w:rsidR="00000000" w:rsidDel="00000000" w:rsidP="00000000" w:rsidRDefault="00000000" w:rsidRPr="00000000" w14:paraId="0000000A">
      <w:pPr>
        <w:widowControl w:val="0"/>
        <w:spacing w:after="160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General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Languages</w:t>
        </w:r>
      </w:hyperlink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Population: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 and social media use: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most common social media channels are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most common communication tools are </w:t>
      </w:r>
    </w:p>
    <w:p w:rsidR="00000000" w:rsidDel="00000000" w:rsidP="00000000" w:rsidRDefault="00000000" w:rsidRPr="00000000" w14:paraId="00000010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Risk environment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channels include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tactics include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routes include </w:t>
      </w:r>
    </w:p>
    <w:p w:rsidR="00000000" w:rsidDel="00000000" w:rsidP="00000000" w:rsidRDefault="00000000" w:rsidRPr="00000000" w14:paraId="00000015">
      <w:pPr>
        <w:widowControl w:val="0"/>
        <w:spacing w:after="16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Response environment</w:t>
      </w:r>
    </w:p>
    <w:p w:rsidR="00000000" w:rsidDel="00000000" w:rsidP="00000000" w:rsidRDefault="00000000" w:rsidRPr="00000000" w14:paraId="00000017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response groups include: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Local: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Regional: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Potential: </w:t>
      </w:r>
    </w:p>
    <w:p w:rsidR="00000000" w:rsidDel="00000000" w:rsidP="00000000" w:rsidRDefault="00000000" w:rsidRPr="00000000" w14:paraId="0000001B">
      <w:pPr>
        <w:widowControl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tactics include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16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fact-checking</w:t>
      </w:r>
    </w:p>
    <w:p w:rsidR="00000000" w:rsidDel="00000000" w:rsidP="00000000" w:rsidRDefault="00000000" w:rsidRPr="00000000" w14:paraId="0000001E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organisations that could be helpful to infodemic response in xxx include: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16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before="40" w:lineRule="auto"/>
        <w:jc w:val="both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Election Specific</w:t>
      </w:r>
    </w:p>
    <w:p w:rsidR="00000000" w:rsidDel="00000000" w:rsidP="00000000" w:rsidRDefault="00000000" w:rsidRPr="00000000" w14:paraId="00000022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topic-specific</w:t>
      </w:r>
      <w:r w:rsidDel="00000000" w:rsidR="00000000" w:rsidRPr="00000000">
        <w:rPr>
          <w:sz w:val="20"/>
          <w:szCs w:val="20"/>
          <w:rtl w:val="0"/>
        </w:rPr>
        <w:t xml:space="preserve"> narratives seen in country include: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16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before="40" w:lineRule="auto"/>
        <w:jc w:val="both"/>
        <w:rPr>
          <w:sz w:val="20"/>
          <w:szCs w:val="20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Background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160" w:lineRule="auto"/>
        <w:ind w:left="720" w:hanging="360"/>
        <w:jc w:val="both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anguages_of_Moldo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