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2"/>
        </w:rPr>
        <w:t>STRATEGIC PLANNING &amp; DATA EXPLORATION REPORT</w:t>
      </w:r>
    </w:p>
    <w:p>
      <w:pPr>
        <w:spacing w:before="0" w:after="280"/>
      </w:pPr>
      <w:r>
        <w:rPr>
          <w:rFonts w:ascii="Arial" w:hAnsi="Arial"/>
          <w:b/>
          <w:color w:val="2B5C8F"/>
          <w:sz w:val="24"/>
        </w:rPr>
        <w:t>Optimizing Multi-Echelon Inventory Allocation and Last-Mile Route Efficiency Through Data Science &amp; Machine Learning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F0F4F8"/>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Arial" w:hAnsi="Arial"/>
                <w:b/>
                <w:color w:val="1B365D"/>
                <w:sz w:val="17"/>
              </w:rPr>
              <w:t>Project Phase:</w:t>
            </w:r>
          </w:p>
        </w:tc>
        <w:tc>
          <w:tcPr>
            <w:tcW w:type="dxa" w:w="2520"/>
            <w:shd w:fill="FFFFFF"/>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Calibri" w:hAnsi="Calibri"/>
                <w:color w:val="323232"/>
                <w:sz w:val="17"/>
              </w:rPr>
              <w:t>Week 1: Strategy &amp; Exploration</w:t>
            </w:r>
          </w:p>
        </w:tc>
        <w:tc>
          <w:tcPr>
            <w:tcW w:type="dxa" w:w="2160"/>
            <w:shd w:fill="F0F4F8"/>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Arial" w:hAnsi="Arial"/>
                <w:b/>
                <w:color w:val="1B365D"/>
                <w:sz w:val="17"/>
              </w:rPr>
              <w:t>Document Version:</w:t>
            </w:r>
          </w:p>
        </w:tc>
        <w:tc>
          <w:tcPr>
            <w:tcW w:type="dxa" w:w="2520"/>
            <w:shd w:fill="FFFFFF"/>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Calibri" w:hAnsi="Calibri"/>
                <w:color w:val="323232"/>
                <w:sz w:val="17"/>
              </w:rPr>
              <w:t>1.0 (Enterprise Plan)</w:t>
            </w:r>
          </w:p>
        </w:tc>
      </w:tr>
      <w:tr>
        <w:tc>
          <w:tcPr>
            <w:tcW w:type="dxa" w:w="2160"/>
            <w:shd w:fill="F0F4F8"/>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Arial" w:hAnsi="Arial"/>
                <w:b/>
                <w:color w:val="1B365D"/>
                <w:sz w:val="17"/>
              </w:rPr>
              <w:t>Target Network:</w:t>
            </w:r>
          </w:p>
        </w:tc>
        <w:tc>
          <w:tcPr>
            <w:tcW w:type="dxa" w:w="2520"/>
            <w:shd w:fill="FFFFFF"/>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Calibri" w:hAnsi="Calibri"/>
                <w:color w:val="323232"/>
                <w:sz w:val="17"/>
              </w:rPr>
              <w:t>Urban Omnichannel Supply Chain</w:t>
            </w:r>
          </w:p>
        </w:tc>
        <w:tc>
          <w:tcPr>
            <w:tcW w:type="dxa" w:w="2160"/>
            <w:shd w:fill="F0F4F8"/>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Arial" w:hAnsi="Arial"/>
                <w:b/>
                <w:color w:val="1B365D"/>
                <w:sz w:val="17"/>
              </w:rPr>
              <w:t>Core Methodology:</w:t>
            </w:r>
          </w:p>
        </w:tc>
        <w:tc>
          <w:tcPr>
            <w:tcW w:type="dxa" w:w="2520"/>
            <w:shd w:fill="FFFFFF"/>
            <w:tcMar>
              <w:top w:w="60" w:type="dxa"/>
              <w:bottom w:w="60" w:type="dxa"/>
              <w:left w:w="80" w:type="dxa"/>
              <w:right w:w="80" w:type="dxa"/>
            </w:tcMar>
            <w:tcBorders>
              <w:top w:val="single" w:sz="4" w:space="0" w:color="D0D7DE"/>
              <w:bottom w:val="single" w:sz="4" w:space="0" w:color="D0D7DE"/>
              <w:left w:val="none"/>
              <w:right w:val="none"/>
            </w:tcBorders>
          </w:tcPr>
          <w:p>
            <w:pPr>
              <w:spacing w:after="0"/>
            </w:pPr>
            <w:r>
              <w:rPr>
                <w:rFonts w:ascii="Calibri" w:hAnsi="Calibri"/>
                <w:color w:val="323232"/>
                <w:sz w:val="17"/>
              </w:rPr>
              <w:t>ML, Spatial Clustering &amp; VRP</w:t>
            </w:r>
          </w:p>
        </w:tc>
      </w:tr>
    </w:tbl>
    <w:p>
      <w:pPr>
        <w:spacing w:before="120" w:after="160"/>
      </w:pPr>
    </w:p>
    <w:p>
      <w:pPr>
        <w:pStyle w:val="Heading1"/>
        <w:keepNext/>
        <w:spacing w:before="280" w:after="80"/>
      </w:pPr>
      <w:r>
        <w:rPr>
          <w:rFonts w:ascii="Arial" w:hAnsi="Arial"/>
          <w:b/>
          <w:color w:val="1B365D"/>
          <w:sz w:val="32"/>
        </w:rPr>
        <w:t>Executive Summary</w:t>
      </w:r>
    </w:p>
    <w:p>
      <w:r>
        <w:t>Modern e-commerce and retail supply chains operate under relentless pressure to satisfy shrinking delivery windows while managing transportation costs, inventory imbalances, and urban gridlock. The last mile of logistics represents up to 53% of total supply chain operating expenses. This strategic planning report outlines a rigorous, data-driven framework designed to optimize multi-echelon inventory allocation and transform last-mile delivery operations through applied data science, machine learning, and operations research.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top w:val="none"/>
              <w:bottom w:val="none"/>
              <w:left w:val="single" w:sz="24" w:space="0" w:color="1B365D"/>
              <w:right w:val="none"/>
            </w:tcBorders>
          </w:tcPr>
          <w:p>
            <w:pPr>
              <w:spacing w:before="0" w:after="40"/>
            </w:pPr>
            <w:r>
              <w:rPr>
                <w:rFonts w:ascii="Arial" w:hAnsi="Arial"/>
                <w:b/>
                <w:color w:val="1B365D"/>
                <w:sz w:val="20"/>
              </w:rPr>
              <w:t xml:space="preserve">[EXECUTIVE VALUE PROPOSITION] </w:t>
            </w:r>
            <w:r>
              <w:rPr>
                <w:rFonts w:ascii="Calibri" w:hAnsi="Calibri"/>
                <w:color w:val="282828"/>
                <w:sz w:val="21"/>
              </w:rPr>
              <w:t>By transitioning from static FIFO dispatching to an integrated predictive and prescriptive optimization engine, the enterprise can achieve an On-Time In-Full (OTIF) rate exceeding 96%, reduce last-mile mileage by over 50%, lower per-delivery operating costs by 15-20%, and significantly mitigate supply chain carbon intensity.</w:t>
            </w:r>
          </w:p>
        </w:tc>
      </w:tr>
    </w:tbl>
    <w:p>
      <w:pPr>
        <w:spacing w:before="0" w:after="120"/>
      </w:pPr>
    </w:p>
    <w:p>
      <w:r>
        <w:t>This document establishes the strategic deliverables for Week 1: operational scenario scoping, literature and open data benchmarking (using the Amazon Last-Mile and DataCo Supply Chain corpora), mathematical KPI formulations, a 7-phase analytical roadmap, and modular Python implementation scripts. In our simulated 3,000-order trial, machine learning achieved a 0.9976 ROC-AUC in predicting delivery delay risk, while heuristic TSP routing demonstrated a 50.84% reduction in travel mileage.</w:t>
      </w:r>
    </w:p>
    <w:p>
      <w:pPr>
        <w:pStyle w:val="Heading1"/>
        <w:keepNext/>
        <w:spacing w:before="280" w:after="80"/>
      </w:pPr>
      <w:r>
        <w:rPr>
          <w:rFonts w:ascii="Arial" w:hAnsi="Arial"/>
          <w:b/>
          <w:color w:val="1B365D"/>
          <w:sz w:val="32"/>
        </w:rPr>
        <w:t>1. Project Definition &amp; Logistics Scenario</w:t>
      </w:r>
    </w:p>
    <w:p>
      <w:pPr>
        <w:pStyle w:val="Heading2"/>
        <w:keepNext/>
        <w:spacing w:before="200" w:after="60"/>
      </w:pPr>
      <w:r>
        <w:rPr>
          <w:rFonts w:ascii="Arial" w:hAnsi="Arial"/>
          <w:b/>
          <w:color w:val="2B5C8F"/>
          <w:sz w:val="26"/>
        </w:rPr>
        <w:t>1.1 Network Context &amp; Operational Scenario</w:t>
      </w:r>
    </w:p>
    <w:p>
      <w:r>
        <w:t>The target enterprise manages a multi-tier fulfillment logistics network servicing a high-density metropolitan area. The distribution network is organized into two primary tiers:</w:t>
        <w:br/>
        <w:t>1. Regional Distribution Centers (RDCs): Large-scale fulfillment hubs (RDC-North, RDC-South) carrying broad SKU catalogues, fulfilling standard bulk ground shipments, and managing long-haul supplier replenishment.</w:t>
        <w:br/>
        <w:t>2. Urban Micro-Fulfillment Centers (MFCs): Localized urban dark stores (MFC-Central, MFC-East) situated near dense customer clusters to service rapid Same-Day Express (under 6 hours) and Next-Day Priority (under 24 hours) orders.</w:t>
      </w:r>
    </w:p>
    <w:p>
      <w:pPr>
        <w:pStyle w:val="Heading2"/>
        <w:keepNext/>
        <w:spacing w:before="200" w:after="60"/>
      </w:pPr>
      <w:r>
        <w:rPr>
          <w:rFonts w:ascii="Arial" w:hAnsi="Arial"/>
          <w:b/>
          <w:color w:val="2B5C8F"/>
          <w:sz w:val="26"/>
        </w:rPr>
        <w:t>1.2 Core Operational Challenges</w:t>
      </w:r>
    </w:p>
    <w:p>
      <w:r>
        <w:t>The enterprise currently experiences three acute operational pain points:</w:t>
        <w:br/>
        <w:t>- Inventory Misallocation &amp; Stockouts: Phantom stockouts in urban MFCs force costly cross-region split dispatches from RDCs, increasing cost-per-drop by 25% and transit duration by 65%.</w:t>
        <w:br/>
        <w:t>- Same-Day SLA Vulnerability: Baseline Same-Day Express deliveries suffer an alarming 16.25% late delivery rate due to traffic congestion and multi-attempt failures.</w:t>
        <w:br/>
        <w:t>- Static Dispatch Routing: Unoptimized first-in first-out dispatch produces overlapping routes, high vehicle wear, excess fuel burn, and avoidable driver overtime.</w:t>
      </w:r>
    </w:p>
    <w:p>
      <w:pPr>
        <w:pStyle w:val="Heading2"/>
        <w:keepNext/>
        <w:spacing w:before="200" w:after="60"/>
      </w:pPr>
      <w:r>
        <w:rPr>
          <w:rFonts w:ascii="Arial" w:hAnsi="Arial"/>
          <w:b/>
          <w:color w:val="2B5C8F"/>
          <w:sz w:val="26"/>
        </w:rPr>
        <w:t>1.3 Key Performance Indicators (KPIs)</w:t>
      </w:r>
    </w:p>
    <w:p>
      <w:r>
        <w:t>The following five strategic KPIs establish quantitative baselines and target benchmarks: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B365D"/>
            <w:tcMar>
              <w:top w:w="80" w:type="dxa"/>
              <w:bottom w:w="80" w:type="dxa"/>
              <w:left w:w="80" w:type="dxa"/>
              <w:right w:w="80" w:type="dxa"/>
            </w:tcMar>
          </w:tcPr>
          <w:p>
            <w:pPr>
              <w:spacing w:after="0"/>
              <w:jc w:val="center"/>
            </w:pPr>
            <w:r>
              <w:rPr>
                <w:rFonts w:ascii="Arial" w:hAnsi="Arial"/>
                <w:b/>
                <w:color w:val="FFFFFF"/>
                <w:sz w:val="16"/>
              </w:rPr>
              <w:t>KPI Name</w:t>
            </w:r>
          </w:p>
        </w:tc>
        <w:tc>
          <w:tcPr>
            <w:tcW w:type="dxa" w:w="1296"/>
            <w:shd w:fill="1B365D"/>
            <w:tcMar>
              <w:top w:w="80" w:type="dxa"/>
              <w:bottom w:w="80" w:type="dxa"/>
              <w:left w:w="80" w:type="dxa"/>
              <w:right w:w="80" w:type="dxa"/>
            </w:tcMar>
          </w:tcPr>
          <w:p>
            <w:pPr>
              <w:spacing w:after="0"/>
              <w:jc w:val="center"/>
            </w:pPr>
            <w:r>
              <w:rPr>
                <w:rFonts w:ascii="Arial" w:hAnsi="Arial"/>
                <w:b/>
                <w:color w:val="FFFFFF"/>
                <w:sz w:val="16"/>
              </w:rPr>
              <w:t>Category</w:t>
            </w:r>
          </w:p>
        </w:tc>
        <w:tc>
          <w:tcPr>
            <w:tcW w:type="dxa" w:w="2592"/>
            <w:shd w:fill="1B365D"/>
            <w:tcMar>
              <w:top w:w="80" w:type="dxa"/>
              <w:bottom w:w="80" w:type="dxa"/>
              <w:left w:w="80" w:type="dxa"/>
              <w:right w:w="80" w:type="dxa"/>
            </w:tcMar>
          </w:tcPr>
          <w:p>
            <w:pPr>
              <w:spacing w:after="0"/>
              <w:jc w:val="center"/>
            </w:pPr>
            <w:r>
              <w:rPr>
                <w:rFonts w:ascii="Arial" w:hAnsi="Arial"/>
                <w:b/>
                <w:color w:val="FFFFFF"/>
                <w:sz w:val="16"/>
              </w:rPr>
              <w:t>Mathematical Formula</w:t>
            </w:r>
          </w:p>
        </w:tc>
        <w:tc>
          <w:tcPr>
            <w:tcW w:type="dxa" w:w="1008"/>
            <w:shd w:fill="1B365D"/>
            <w:tcMar>
              <w:top w:w="80" w:type="dxa"/>
              <w:bottom w:w="80" w:type="dxa"/>
              <w:left w:w="80" w:type="dxa"/>
              <w:right w:w="80" w:type="dxa"/>
            </w:tcMar>
          </w:tcPr>
          <w:p>
            <w:pPr>
              <w:spacing w:after="0"/>
              <w:jc w:val="center"/>
            </w:pPr>
            <w:r>
              <w:rPr>
                <w:rFonts w:ascii="Arial" w:hAnsi="Arial"/>
                <w:b/>
                <w:color w:val="FFFFFF"/>
                <w:sz w:val="16"/>
              </w:rPr>
              <w:t>Baseline</w:t>
            </w:r>
          </w:p>
        </w:tc>
        <w:tc>
          <w:tcPr>
            <w:tcW w:type="dxa" w:w="1008"/>
            <w:shd w:fill="1B365D"/>
            <w:tcMar>
              <w:top w:w="80" w:type="dxa"/>
              <w:bottom w:w="80" w:type="dxa"/>
              <w:left w:w="80" w:type="dxa"/>
              <w:right w:w="80" w:type="dxa"/>
            </w:tcMar>
          </w:tcPr>
          <w:p>
            <w:pPr>
              <w:spacing w:after="0"/>
              <w:jc w:val="center"/>
            </w:pPr>
            <w:r>
              <w:rPr>
                <w:rFonts w:ascii="Arial" w:hAnsi="Arial"/>
                <w:b/>
                <w:color w:val="FFFFFF"/>
                <w:sz w:val="16"/>
              </w:rPr>
              <w:t>Target</w:t>
            </w:r>
          </w:p>
        </w:tc>
        <w:tc>
          <w:tcPr>
            <w:tcW w:type="dxa" w:w="1728"/>
            <w:shd w:fill="1B365D"/>
            <w:tcMar>
              <w:top w:w="80" w:type="dxa"/>
              <w:bottom w:w="80" w:type="dxa"/>
              <w:left w:w="80" w:type="dxa"/>
              <w:right w:w="80" w:type="dxa"/>
            </w:tcMar>
          </w:tcPr>
          <w:p>
            <w:pPr>
              <w:spacing w:after="0"/>
              <w:jc w:val="center"/>
            </w:pPr>
            <w:r>
              <w:rPr>
                <w:rFonts w:ascii="Arial" w:hAnsi="Arial"/>
                <w:b/>
                <w:color w:val="FFFFFF"/>
                <w:sz w:val="16"/>
              </w:rPr>
              <w:t>Business Impact</w:t>
            </w:r>
          </w:p>
        </w:tc>
      </w:tr>
      <w:tr>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1. On-Time In-Full (OTIF) Rate</w:t>
            </w:r>
          </w:p>
        </w:tc>
        <w:tc>
          <w:tcPr>
            <w:tcW w:type="dxa" w:w="1296"/>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Service Quality</w:t>
            </w:r>
          </w:p>
        </w:tc>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(N_ontime_infull / N_total) * 100</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B42828"/>
                <w:sz w:val="16"/>
              </w:rPr>
              <w:t>91.73%</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6"/>
              </w:rPr>
              <w:t>&gt;= 96.0%</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Protects brand loyalty, eliminates SLA penalties.</w:t>
            </w:r>
          </w:p>
        </w:tc>
      </w:tr>
      <w:tr>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2. Cost Per Delivery</w:t>
            </w:r>
          </w:p>
        </w:tc>
        <w:tc>
          <w:tcPr>
            <w:tcW w:type="dxa" w:w="1296"/>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Financial Efficiency</w:t>
            </w:r>
          </w:p>
        </w:tc>
        <w:tc>
          <w:tcPr>
            <w:tcW w:type="dxa" w:w="259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Total Last-Mile Cost / Total Stops</w:t>
            </w:r>
          </w:p>
        </w:tc>
        <w:tc>
          <w:tcPr>
            <w:tcW w:type="dxa" w:w="100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B42828"/>
                <w:sz w:val="16"/>
              </w:rPr>
              <w:t>$36.40 / stop</w:t>
            </w:r>
          </w:p>
        </w:tc>
        <w:tc>
          <w:tcPr>
            <w:tcW w:type="dxa" w:w="100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6"/>
              </w:rPr>
              <w:t>&lt;= $30.00 (-17.5%)</w:t>
            </w:r>
          </w:p>
        </w:tc>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Expands profit margin on rapid fulfillment.</w:t>
            </w:r>
          </w:p>
        </w:tc>
      </w:tr>
      <w:tr>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3. Inventory Turnover Ratio</w:t>
            </w:r>
          </w:p>
        </w:tc>
        <w:tc>
          <w:tcPr>
            <w:tcW w:type="dxa" w:w="1296"/>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Working Capital</w:t>
            </w:r>
          </w:p>
        </w:tc>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COGS / Average Inventory Value</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B42828"/>
                <w:sz w:val="16"/>
              </w:rPr>
              <w:t>6.2x / yr</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6"/>
              </w:rPr>
              <w:t>&gt;= 8.5x / yr</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Minimizes holding costs and inventory obsolescence.</w:t>
            </w:r>
          </w:p>
        </w:tc>
      </w:tr>
      <w:tr>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4. First-Attempt Delivery Rate</w:t>
            </w:r>
          </w:p>
        </w:tc>
        <w:tc>
          <w:tcPr>
            <w:tcW w:type="dxa" w:w="1296"/>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Operational Quality</w:t>
            </w:r>
          </w:p>
        </w:tc>
        <w:tc>
          <w:tcPr>
            <w:tcW w:type="dxa" w:w="259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(N_single_attempt / N_total) * 100</w:t>
            </w:r>
          </w:p>
        </w:tc>
        <w:tc>
          <w:tcPr>
            <w:tcW w:type="dxa" w:w="100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B42828"/>
                <w:sz w:val="16"/>
              </w:rPr>
              <w:t>86.57%</w:t>
            </w:r>
          </w:p>
        </w:tc>
        <w:tc>
          <w:tcPr>
            <w:tcW w:type="dxa" w:w="100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6"/>
              </w:rPr>
              <w:t>&gt;= 95.0%</w:t>
            </w:r>
          </w:p>
        </w:tc>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Eliminates expensive re-delivery attempts ($6.50/re-attempt).</w:t>
            </w:r>
          </w:p>
        </w:tc>
      </w:tr>
      <w:tr>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5. Route Carbon Intensity</w:t>
            </w:r>
          </w:p>
        </w:tc>
        <w:tc>
          <w:tcPr>
            <w:tcW w:type="dxa" w:w="1296"/>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ESG / Sustainability</w:t>
            </w:r>
          </w:p>
        </w:tc>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Total CO2e (kg) / Ton-km Delivered</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B42828"/>
                <w:sz w:val="16"/>
              </w:rPr>
              <w:t>184 g/t-km</w:t>
            </w:r>
          </w:p>
        </w:tc>
        <w:tc>
          <w:tcPr>
            <w:tcW w:type="dxa" w:w="100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6"/>
              </w:rPr>
              <w:t>&lt;= 135 g/t-km (-26%)</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Ensures compliance with urban clean air regulations.</w:t>
            </w:r>
          </w:p>
        </w:tc>
      </w:tr>
    </w:tbl>
    <w:p>
      <w:pPr>
        <w:spacing w:after="160"/>
      </w:pPr>
    </w:p>
    <w:p>
      <w:pPr>
        <w:pStyle w:val="Heading1"/>
        <w:keepNext/>
        <w:spacing w:before="280" w:after="80"/>
      </w:pPr>
      <w:r>
        <w:rPr>
          <w:rFonts w:ascii="Arial" w:hAnsi="Arial"/>
          <w:b/>
          <w:color w:val="1B365D"/>
          <w:sz w:val="32"/>
        </w:rPr>
        <w:t>2. Literature Review &amp; Data Science Research</w:t>
      </w:r>
    </w:p>
    <w:p>
      <w:pPr>
        <w:pStyle w:val="Heading2"/>
        <w:keepNext/>
        <w:spacing w:before="200" w:after="60"/>
      </w:pPr>
      <w:r>
        <w:rPr>
          <w:rFonts w:ascii="Arial" w:hAnsi="Arial"/>
          <w:b/>
          <w:color w:val="2B5C8F"/>
          <w:sz w:val="26"/>
        </w:rPr>
        <w:t>2.1 Benchmark Public Datasets</w:t>
      </w:r>
    </w:p>
    <w:p>
      <w:r>
        <w:t>Our analytical framework is grounded in empirical research using three prominent public datasets:</w:t>
        <w:br/>
        <w:t>1. Amazon Last-Mile Routing Research Challenge Dataset (MIT/Amazon, 2021): Contains over 6,000 actual delivery routes with GPS coordinates, transit times, package dimensions, service times, and road circuity distributions (1.28 - 1.55).</w:t>
        <w:br/>
        <w:t>2. DataCo Global Supply Chain Intelligence Dataset: A repository of 180,000+ omnichannel order transactions detailing delivery status, late delivery risk factors, order geography, and shipping modes.</w:t>
        <w:br/>
        <w:t>3. US DOT BTS Freight Analysis Framework (FAF5): Multimodal freight flow data and highway speed indices across major metro corridors.</w:t>
      </w:r>
    </w:p>
    <w:p>
      <w:pPr>
        <w:pStyle w:val="Heading2"/>
        <w:keepNext/>
        <w:spacing w:before="200" w:after="60"/>
      </w:pPr>
      <w:r>
        <w:rPr>
          <w:rFonts w:ascii="Arial" w:hAnsi="Arial"/>
          <w:b/>
          <w:color w:val="2B5C8F"/>
          <w:sz w:val="26"/>
        </w:rPr>
        <w:t>2.2 Applied Data Science Methodologies</w:t>
      </w:r>
    </w:p>
    <w:p>
      <w:r>
        <w:t>The project integrates four complementary data science paradigms:</w:t>
        <w:br/>
        <w:t>- Supervised Regression &amp; Time-Series: LightGBM and XGBoost models for localized SKU-level demand forecasting, incorporating rolling sales lags, calendar factors, and promotional seasonality.</w:t>
        <w:br/>
        <w:t>- Supervised Classification: Balanced Random Forest classifiers predicting pre-dispatch Late Delivery Risk at order manifestation, enabling proactive SLA intervention.</w:t>
        <w:br/>
        <w:t>- Unsupervised Spatial Clustering: K-Means and DBSCAN algorithms partitioning delivery drops into compact urban micro-zones and identifying optimal centroid locations for urban micro-hubs.</w:t>
        <w:br/>
        <w:t>- Prescriptive Operations Research: Heuristic Capacitated Vehicle Routing Problem with Time Windows (CVRPTW) combining Clarke-Wright Savings, Greedy Nearest Neighbor, and 2-Opt local search.</w:t>
      </w:r>
    </w:p>
    <w:p>
      <w:pPr>
        <w:pStyle w:val="Heading1"/>
        <w:keepNext/>
        <w:spacing w:before="280" w:after="80"/>
      </w:pPr>
      <w:r>
        <w:rPr>
          <w:rFonts w:ascii="Arial" w:hAnsi="Arial"/>
          <w:b/>
          <w:color w:val="1B365D"/>
          <w:sz w:val="32"/>
        </w:rPr>
        <w:t>3. Strategic Roadmap: End-to-End Analytical Pipeline</w:t>
      </w:r>
    </w:p>
    <w:p>
      <w:r>
        <w:t>The analytical transformation is structured across an end-to-end 7-phase implementation roadmap:</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B365D"/>
            <w:tcMar>
              <w:top w:w="80" w:type="dxa"/>
              <w:bottom w:w="80" w:type="dxa"/>
              <w:left w:w="80" w:type="dxa"/>
              <w:right w:w="80" w:type="dxa"/>
            </w:tcMar>
          </w:tcPr>
          <w:p>
            <w:pPr>
              <w:spacing w:after="0"/>
              <w:jc w:val="center"/>
            </w:pPr>
            <w:r>
              <w:rPr>
                <w:rFonts w:ascii="Arial" w:hAnsi="Arial"/>
                <w:b/>
                <w:color w:val="FFFFFF"/>
                <w:sz w:val="16"/>
              </w:rPr>
              <w:t>Phase</w:t>
            </w:r>
          </w:p>
        </w:tc>
        <w:tc>
          <w:tcPr>
            <w:tcW w:type="dxa" w:w="1872"/>
            <w:shd w:fill="1B365D"/>
            <w:tcMar>
              <w:top w:w="80" w:type="dxa"/>
              <w:bottom w:w="80" w:type="dxa"/>
              <w:left w:w="80" w:type="dxa"/>
              <w:right w:w="80" w:type="dxa"/>
            </w:tcMar>
          </w:tcPr>
          <w:p>
            <w:pPr>
              <w:spacing w:after="0"/>
              <w:jc w:val="center"/>
            </w:pPr>
            <w:r>
              <w:rPr>
                <w:rFonts w:ascii="Arial" w:hAnsi="Arial"/>
                <w:b/>
                <w:color w:val="FFFFFF"/>
                <w:sz w:val="16"/>
              </w:rPr>
              <w:t>Operational Scope</w:t>
            </w:r>
          </w:p>
        </w:tc>
        <w:tc>
          <w:tcPr>
            <w:tcW w:type="dxa" w:w="3168"/>
            <w:shd w:fill="1B365D"/>
            <w:tcMar>
              <w:top w:w="80" w:type="dxa"/>
              <w:bottom w:w="80" w:type="dxa"/>
              <w:left w:w="80" w:type="dxa"/>
              <w:right w:w="80" w:type="dxa"/>
            </w:tcMar>
          </w:tcPr>
          <w:p>
            <w:pPr>
              <w:spacing w:after="0"/>
              <w:jc w:val="center"/>
            </w:pPr>
            <w:r>
              <w:rPr>
                <w:rFonts w:ascii="Arial" w:hAnsi="Arial"/>
                <w:b/>
                <w:color w:val="FFFFFF"/>
                <w:sz w:val="16"/>
              </w:rPr>
              <w:t>Key Technical Activities</w:t>
            </w:r>
          </w:p>
        </w:tc>
        <w:tc>
          <w:tcPr>
            <w:tcW w:type="dxa" w:w="1728"/>
            <w:shd w:fill="1B365D"/>
            <w:tcMar>
              <w:top w:w="80" w:type="dxa"/>
              <w:bottom w:w="80" w:type="dxa"/>
              <w:left w:w="80" w:type="dxa"/>
              <w:right w:w="80" w:type="dxa"/>
            </w:tcMar>
          </w:tcPr>
          <w:p>
            <w:pPr>
              <w:spacing w:after="0"/>
              <w:jc w:val="center"/>
            </w:pPr>
            <w:r>
              <w:rPr>
                <w:rFonts w:ascii="Arial" w:hAnsi="Arial"/>
                <w:b/>
                <w:color w:val="FFFFFF"/>
                <w:sz w:val="16"/>
              </w:rPr>
              <w:t>Primary Deliverable</w:t>
            </w:r>
          </w:p>
        </w:tc>
        <w:tc>
          <w:tcPr>
            <w:tcW w:type="dxa" w:w="1152"/>
            <w:shd w:fill="1B365D"/>
            <w:tcMar>
              <w:top w:w="80" w:type="dxa"/>
              <w:bottom w:w="80" w:type="dxa"/>
              <w:left w:w="80" w:type="dxa"/>
              <w:right w:w="80" w:type="dxa"/>
            </w:tcMar>
          </w:tcPr>
          <w:p>
            <w:pPr>
              <w:spacing w:after="0"/>
              <w:jc w:val="center"/>
            </w:pPr>
            <w:r>
              <w:rPr>
                <w:rFonts w:ascii="Arial" w:hAnsi="Arial"/>
                <w:b/>
                <w:color w:val="FFFFFF"/>
                <w:sz w:val="16"/>
              </w:rPr>
              <w:t>Timeline</w:t>
            </w:r>
          </w:p>
        </w:tc>
      </w:tr>
      <w:tr>
        <w:tc>
          <w:tcPr>
            <w:tcW w:type="dxa" w:w="144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1: Scoping &amp; Governance</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Requirements &amp; Alignment</w:t>
            </w:r>
          </w:p>
        </w:tc>
        <w:tc>
          <w:tcPr>
            <w:tcW w:type="dxa" w:w="316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Define SLAs, map warehouse tiers, establish KPI formulas, audit data compliance.</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Project Charter &amp; KPI Matrix</w:t>
            </w:r>
          </w:p>
        </w:tc>
        <w:tc>
          <w:tcPr>
            <w:tcW w:type="dxa" w:w="115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1-2</w:t>
            </w:r>
          </w:p>
        </w:tc>
      </w:tr>
      <w:tr>
        <w:tc>
          <w:tcPr>
            <w:tcW w:type="dxa" w:w="144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2: Ingestion Architecture</w:t>
            </w:r>
          </w:p>
        </w:tc>
        <w:tc>
          <w:tcPr>
            <w:tcW w:type="dxa" w:w="187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Data Infrastructure</w:t>
            </w:r>
          </w:p>
        </w:tc>
        <w:tc>
          <w:tcPr>
            <w:tcW w:type="dxa" w:w="316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Build Kafka/Airflow streaming pipelines linking ERP (SAP), WMS, and TMS GPS telematics.</w:t>
            </w:r>
          </w:p>
        </w:tc>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Automated Ingestion Lakehouse</w:t>
            </w:r>
          </w:p>
        </w:tc>
        <w:tc>
          <w:tcPr>
            <w:tcW w:type="dxa" w:w="115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3-4</w:t>
            </w:r>
          </w:p>
        </w:tc>
      </w:tr>
      <w:tr>
        <w:tc>
          <w:tcPr>
            <w:tcW w:type="dxa" w:w="144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3: Cleansing &amp; Feature Eng.</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Data Wrangling</w:t>
            </w:r>
          </w:p>
        </w:tc>
        <w:tc>
          <w:tcPr>
            <w:tcW w:type="dxa" w:w="316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Geocoding, handling address errors, computing road circuity, building lag and traffic features.</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Clean Analytical Feature Store</w:t>
            </w:r>
          </w:p>
        </w:tc>
        <w:tc>
          <w:tcPr>
            <w:tcW w:type="dxa" w:w="115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5-6</w:t>
            </w:r>
          </w:p>
        </w:tc>
      </w:tr>
      <w:tr>
        <w:tc>
          <w:tcPr>
            <w:tcW w:type="dxa" w:w="144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4: Exploratory Analysis</w:t>
            </w:r>
          </w:p>
        </w:tc>
        <w:tc>
          <w:tcPr>
            <w:tcW w:type="dxa" w:w="187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Diagnostic Insights</w:t>
            </w:r>
          </w:p>
        </w:tc>
        <w:tc>
          <w:tcPr>
            <w:tcW w:type="dxa" w:w="316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Spatial failure heatmaps, bottleneck correlation matrices, lead-time variance decomposition.</w:t>
            </w:r>
          </w:p>
        </w:tc>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Interactive Streamlit Dashboards</w:t>
            </w:r>
          </w:p>
        </w:tc>
        <w:tc>
          <w:tcPr>
            <w:tcW w:type="dxa" w:w="115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7-8</w:t>
            </w:r>
          </w:p>
        </w:tc>
      </w:tr>
      <w:tr>
        <w:tc>
          <w:tcPr>
            <w:tcW w:type="dxa" w:w="144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5: ML &amp; Optimization</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Model Development</w:t>
            </w:r>
          </w:p>
        </w:tc>
        <w:tc>
          <w:tcPr>
            <w:tcW w:type="dxa" w:w="316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Train LightGBM forecasters, Random Forest delay classifiers, and 2-Opt CVRPTW routing engines.</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Trained &amp; Validated Model Weights</w:t>
            </w:r>
          </w:p>
        </w:tc>
        <w:tc>
          <w:tcPr>
            <w:tcW w:type="dxa" w:w="115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9-11</w:t>
            </w:r>
          </w:p>
        </w:tc>
      </w:tr>
      <w:tr>
        <w:tc>
          <w:tcPr>
            <w:tcW w:type="dxa" w:w="144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6: Simulation &amp; Pilot</w:t>
            </w:r>
          </w:p>
        </w:tc>
        <w:tc>
          <w:tcPr>
            <w:tcW w:type="dxa" w:w="187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Backtesting &amp; Validation</w:t>
            </w:r>
          </w:p>
        </w:tc>
        <w:tc>
          <w:tcPr>
            <w:tcW w:type="dxa" w:w="316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Simulate historical routing replays, conduct rolling cross-validation, run 10-van live pilot.</w:t>
            </w:r>
          </w:p>
        </w:tc>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Simulation &amp; Pilot Audit Report</w:t>
            </w:r>
          </w:p>
        </w:tc>
        <w:tc>
          <w:tcPr>
            <w:tcW w:type="dxa" w:w="115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12-13</w:t>
            </w:r>
          </w:p>
        </w:tc>
      </w:tr>
      <w:tr>
        <w:tc>
          <w:tcPr>
            <w:tcW w:type="dxa" w:w="144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Phase 7: Deployment &amp; MLOps</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Enterprise Rollout</w:t>
            </w:r>
          </w:p>
        </w:tc>
        <w:tc>
          <w:tcPr>
            <w:tcW w:type="dxa" w:w="316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Containerize inference microservices (FastAPI/Docker), integrate with driver mobile apps, drift monitors.</w:t>
            </w:r>
          </w:p>
        </w:tc>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Production Dispatch Engine</w:t>
            </w:r>
          </w:p>
        </w:tc>
        <w:tc>
          <w:tcPr>
            <w:tcW w:type="dxa" w:w="115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Weeks 14-16</w:t>
            </w:r>
          </w:p>
        </w:tc>
      </w:tr>
    </w:tbl>
    <w:p>
      <w:pPr>
        <w:spacing w:after="160"/>
      </w:pPr>
    </w:p>
    <w:p>
      <w:pPr>
        <w:pStyle w:val="Heading1"/>
        <w:keepNext/>
        <w:spacing w:before="280" w:after="80"/>
      </w:pPr>
      <w:r>
        <w:rPr>
          <w:rFonts w:ascii="Arial" w:hAnsi="Arial"/>
          <w:b/>
          <w:color w:val="1B365D"/>
          <w:sz w:val="32"/>
        </w:rPr>
        <w:t>4. Python Code Illustration &amp; Technical Architecture</w:t>
      </w:r>
    </w:p>
    <w:p>
      <w:r>
        <w:t>To operationalize the analytical framework, production-grade Python scripts have been authored. Below are the core architectural modules illustrating feature engineering, delay risk modeling, and route optimization:</w:t>
      </w:r>
    </w:p>
    <w:p>
      <w:pPr>
        <w:pStyle w:val="Heading2"/>
        <w:keepNext/>
        <w:spacing w:before="200" w:after="60"/>
      </w:pPr>
      <w:r>
        <w:rPr>
          <w:rFonts w:ascii="Arial" w:hAnsi="Arial"/>
          <w:b/>
          <w:color w:val="2B5C8F"/>
          <w:sz w:val="26"/>
        </w:rPr>
        <w:t>4.1 Data Cleaning &amp; Feature Engineering Pipeline</w:t>
      </w:r>
    </w:p>
    <w:p>
      <w:pPr>
        <w:spacing w:before="120" w:after="40"/>
      </w:pPr>
      <w:r>
        <w:rPr>
          <w:rFonts w:ascii="Arial" w:hAnsi="Arial"/>
          <w:b/>
          <w:color w:val="2B5C8F"/>
          <w:sz w:val="19"/>
        </w:rPr>
        <w:t>Code Listing: feature_pipeline.py</w:t>
      </w:r>
    </w:p>
    <w:tbl>
      <w:tblPr>
        <w:tblW w:type="auto" w:w="0"/>
        <w:jc w:val="center"/>
        <w:tblLayout w:type="fixed"/>
        <w:tblLook w:firstColumn="1" w:firstRow="1" w:lastColumn="0" w:lastRow="0" w:noHBand="0" w:noVBand="1" w:val="04A0"/>
      </w:tblPr>
      <w:tblGrid>
        <w:gridCol w:w="9360"/>
      </w:tblGrid>
      <w:tr>
        <w:tc>
          <w:tcPr>
            <w:tcW w:type="dxa" w:w="9360"/>
            <w:shd w:fill="F7F9FB"/>
            <w:tcMar>
              <w:top w:w="120" w:type="dxa"/>
              <w:bottom w:w="120" w:type="dxa"/>
              <w:left w:w="160" w:type="dxa"/>
              <w:right w:w="140" w:type="dxa"/>
            </w:tcMar>
            <w:tcBorders>
              <w:top w:val="single" w:sz="4" w:space="0" w:color="D0D7DE"/>
              <w:bottom w:val="single" w:sz="4" w:space="0" w:color="D0D7DE"/>
              <w:left w:val="single" w:sz="18" w:space="0" w:color="2B5C8F"/>
              <w:right w:val="single" w:sz="4" w:space="0" w:color="D0D7DE"/>
            </w:tcBorders>
          </w:tcPr>
          <w:p>
            <w:pPr>
              <w:spacing w:before="0" w:after="0" w:line="276" w:lineRule="auto"/>
            </w:pPr>
            <w:r>
              <w:rPr>
                <w:rFonts w:ascii="Consolas" w:hAnsi="Consolas"/>
                <w:color w:val="1E1E1E"/>
                <w:sz w:val="17"/>
              </w:rPr>
              <w:t># Feature engineering: calculate spatial distances &amp; temporal lags</w:t>
              <w:br/>
              <w:t>def preprocess_logistics_data(df: pd.DataFrame) -&gt; pd.DataFrame:</w:t>
              <w:br/>
              <w:t xml:space="preserve">    d_lat = (df['Dest_Latitude'] - df['Origin_Latitude']) * 111.0</w:t>
              <w:br/>
              <w:t xml:space="preserve">    d_lon = (df['Dest_Longitude'] - df['Origin_Longitude']) * 85.0</w:t>
              <w:br/>
              <w:t xml:space="preserve">    df['Direct_Distance_km'] = np.sqrt(d_lat**2 + d_lon**2)</w:t>
              <w:br/>
              <w:t xml:space="preserve">    df['Route_Distance_km'] = df['Direct_Distance_km'] * 1.38  # Urban circuity factor</w:t>
              <w:br/>
              <w:t xml:space="preserve">    df['Order_Timestamp'] = pd.to_datetime(df['Order_Timestamp'])</w:t>
              <w:br/>
              <w:t xml:space="preserve">    df['Hour_of_Day'] = df['Order_Timestamp'].dt.hour</w:t>
              <w:br/>
              <w:t xml:space="preserve">    df['Is_Weekend'] = df['Order_Timestamp'].dt.dayofweek.isin([5, 6]).astype(int)</w:t>
              <w:br/>
              <w:t xml:space="preserve">    return pd.get_dummies(df, columns=['Shipping_Mode', 'Origin_Warehouse_Type'], drop_first=True)</w:t>
            </w:r>
          </w:p>
        </w:tc>
      </w:tr>
    </w:tbl>
    <w:p>
      <w:pPr>
        <w:spacing w:before="0" w:after="120"/>
      </w:pPr>
    </w:p>
    <w:p>
      <w:pPr>
        <w:pStyle w:val="Heading2"/>
        <w:keepNext/>
        <w:spacing w:before="200" w:after="60"/>
      </w:pPr>
      <w:r>
        <w:rPr>
          <w:rFonts w:ascii="Arial" w:hAnsi="Arial"/>
          <w:b/>
          <w:color w:val="2B5C8F"/>
          <w:sz w:val="26"/>
        </w:rPr>
        <w:t>4.2 Supervised Machine Learning: Late Delivery Risk Classifier</w:t>
      </w:r>
    </w:p>
    <w:p>
      <w:pPr>
        <w:spacing w:before="120" w:after="40"/>
      </w:pPr>
      <w:r>
        <w:rPr>
          <w:rFonts w:ascii="Arial" w:hAnsi="Arial"/>
          <w:b/>
          <w:color w:val="2B5C8F"/>
          <w:sz w:val="19"/>
        </w:rPr>
        <w:t>Code Listing: delay_risk_model.py</w:t>
      </w:r>
    </w:p>
    <w:tbl>
      <w:tblPr>
        <w:tblW w:type="auto" w:w="0"/>
        <w:jc w:val="center"/>
        <w:tblLayout w:type="fixed"/>
        <w:tblLook w:firstColumn="1" w:firstRow="1" w:lastColumn="0" w:lastRow="0" w:noHBand="0" w:noVBand="1" w:val="04A0"/>
      </w:tblPr>
      <w:tblGrid>
        <w:gridCol w:w="9360"/>
      </w:tblGrid>
      <w:tr>
        <w:tc>
          <w:tcPr>
            <w:tcW w:type="dxa" w:w="9360"/>
            <w:shd w:fill="F7F9FB"/>
            <w:tcMar>
              <w:top w:w="120" w:type="dxa"/>
              <w:bottom w:w="120" w:type="dxa"/>
              <w:left w:w="160" w:type="dxa"/>
              <w:right w:w="140" w:type="dxa"/>
            </w:tcMar>
            <w:tcBorders>
              <w:top w:val="single" w:sz="4" w:space="0" w:color="D0D7DE"/>
              <w:bottom w:val="single" w:sz="4" w:space="0" w:color="D0D7DE"/>
              <w:left w:val="single" w:sz="18" w:space="0" w:color="2B5C8F"/>
              <w:right w:val="single" w:sz="4" w:space="0" w:color="D0D7DE"/>
            </w:tcBorders>
          </w:tcPr>
          <w:p>
            <w:pPr>
              <w:spacing w:before="0" w:after="0" w:line="276" w:lineRule="auto"/>
            </w:pPr>
            <w:r>
              <w:rPr>
                <w:rFonts w:ascii="Consolas" w:hAnsi="Consolas"/>
                <w:color w:val="1E1E1E"/>
                <w:sz w:val="17"/>
              </w:rPr>
              <w:t># Train Balanced Random Forest classifier for pre-dispatch delay prediction</w:t>
              <w:br/>
              <w:t>def train_delay_classifier(X, y):</w:t>
              <w:br/>
              <w:t xml:space="preserve">    X_train, X_test, y_train, y_test = train_test_split(X, y, test_size=0.20, stratify=y, random_state=42)</w:t>
              <w:br/>
              <w:t xml:space="preserve">    clf = RandomForestClassifier(n_estimators=150, max_depth=8, class_weight='balanced', random_state=42)</w:t>
              <w:br/>
              <w:t xml:space="preserve">    clf.fit(X_train, y_train)</w:t>
              <w:br/>
              <w:t xml:space="preserve">    y_pred, y_prob = clf.predict(X_test), clf.predict_proba(X_test)[:, 1]</w:t>
              <w:br/>
              <w:t xml:space="preserve">    print(f"ROC-AUC: {roc_auc_score(y_test, y_prob):.4f}")</w:t>
              <w:br/>
              <w:t xml:space="preserve">    return clf, clf.feature_importances_</w:t>
            </w:r>
          </w:p>
        </w:tc>
      </w:tr>
    </w:tbl>
    <w:p>
      <w:pPr>
        <w:spacing w:before="0" w:after="120"/>
      </w:pPr>
    </w:p>
    <w:p>
      <w:pPr>
        <w:pStyle w:val="Heading2"/>
        <w:keepNext/>
        <w:spacing w:before="200" w:after="60"/>
      </w:pPr>
      <w:r>
        <w:rPr>
          <w:rFonts w:ascii="Arial" w:hAnsi="Arial"/>
          <w:b/>
          <w:color w:val="2B5C8F"/>
          <w:sz w:val="26"/>
        </w:rPr>
        <w:t>4.3 Spatial Clustering &amp; Heuristic Route Optimization (2-Opt TSP)</w:t>
      </w:r>
    </w:p>
    <w:p>
      <w:pPr>
        <w:spacing w:before="120" w:after="40"/>
      </w:pPr>
      <w:r>
        <w:rPr>
          <w:rFonts w:ascii="Arial" w:hAnsi="Arial"/>
          <w:b/>
          <w:color w:val="2B5C8F"/>
          <w:sz w:val="19"/>
        </w:rPr>
        <w:t>Code Listing: route_optimization_engine.py</w:t>
      </w:r>
    </w:p>
    <w:tbl>
      <w:tblPr>
        <w:tblW w:type="auto" w:w="0"/>
        <w:jc w:val="center"/>
        <w:tblLayout w:type="fixed"/>
        <w:tblLook w:firstColumn="1" w:firstRow="1" w:lastColumn="0" w:lastRow="0" w:noHBand="0" w:noVBand="1" w:val="04A0"/>
      </w:tblPr>
      <w:tblGrid>
        <w:gridCol w:w="9360"/>
      </w:tblGrid>
      <w:tr>
        <w:tc>
          <w:tcPr>
            <w:tcW w:type="dxa" w:w="9360"/>
            <w:shd w:fill="F7F9FB"/>
            <w:tcMar>
              <w:top w:w="120" w:type="dxa"/>
              <w:bottom w:w="120" w:type="dxa"/>
              <w:left w:w="160" w:type="dxa"/>
              <w:right w:w="140" w:type="dxa"/>
            </w:tcMar>
            <w:tcBorders>
              <w:top w:val="single" w:sz="4" w:space="0" w:color="D0D7DE"/>
              <w:bottom w:val="single" w:sz="4" w:space="0" w:color="D0D7DE"/>
              <w:left w:val="single" w:sz="18" w:space="0" w:color="2B5C8F"/>
              <w:right w:val="single" w:sz="4" w:space="0" w:color="D0D7DE"/>
            </w:tcBorders>
          </w:tcPr>
          <w:p>
            <w:pPr>
              <w:spacing w:before="0" w:after="0" w:line="276" w:lineRule="auto"/>
            </w:pPr>
            <w:r>
              <w:rPr>
                <w:rFonts w:ascii="Consolas" w:hAnsi="Consolas"/>
                <w:color w:val="1E1E1E"/>
                <w:sz w:val="17"/>
              </w:rPr>
              <w:t># Cluster delivery drops &amp; optimize stop sequence using Nearest Neighbor + 2-Opt</w:t>
              <w:br/>
              <w:t>def optimize_cluster_routes(coords, depot_coord):</w:t>
              <w:br/>
              <w:t xml:space="preserve">    kmeans = KMeans(n_clusters=4, random_state=42).fit(coords)</w:t>
              <w:br/>
              <w:t xml:space="preserve">    all_stops = [depot_coord] + list(coords)</w:t>
              <w:br/>
              <w:t xml:space="preserve">    dist_mat = np.linalg.norm(np.array(all_stops)[:, None] - np.array(all_stops), axis=2)</w:t>
              <w:br/>
              <w:t xml:space="preserve">    # Nearest Neighbor construction</w:t>
              <w:br/>
              <w:t xml:space="preserve">    unvisited, tour, curr = set(range(1, len(all_stops))), [0], 0</w:t>
              <w:br/>
              <w:t xml:space="preserve">    while unvisited:</w:t>
              <w:br/>
              <w:t xml:space="preserve">        nxt = min(unvisited, key=lambda i: dist_mat[curr, i])</w:t>
              <w:br/>
              <w:t xml:space="preserve">        tour.append(nxt); unvisited.remove(nxt); curr = nxt</w:t>
              <w:br/>
              <w:t xml:space="preserve">    tour.append(0)</w:t>
              <w:br/>
              <w:t xml:space="preserve">    # 2-Opt local search refinement</w:t>
              <w:br/>
              <w:t xml:space="preserve">    improved = True</w:t>
              <w:br/>
              <w:t xml:space="preserve">    while improved:</w:t>
              <w:br/>
              <w:t xml:space="preserve">        improved = False</w:t>
              <w:br/>
              <w:t xml:space="preserve">        for i in range(1, len(tour) - 2):</w:t>
              <w:br/>
              <w:t xml:space="preserve">            for j in range(i + 1, len(tour) - 1):</w:t>
              <w:br/>
              <w:t xml:space="preserve">                if dist_mat[tour[i-1], tour[j]] + dist_mat[tour[i], tour[j+1]] &lt; dist_mat[tour[i-1], tour[i]] + dist_mat[tour[j], tour[j+1]] - 1e-4:</w:t>
              <w:br/>
              <w:t xml:space="preserve">                    tour[i:j+1] = reversed(tour[i:j+1]); improved = True</w:t>
              <w:br/>
              <w:t xml:space="preserve">    return tour, dist_mat</w:t>
            </w:r>
          </w:p>
        </w:tc>
      </w:tr>
    </w:tbl>
    <w:p>
      <w:pPr>
        <w:spacing w:before="0" w:after="120"/>
      </w:pPr>
    </w:p>
    <w:p>
      <w:pPr>
        <w:pStyle w:val="Heading1"/>
        <w:keepNext/>
        <w:spacing w:before="280" w:after="80"/>
      </w:pPr>
      <w:r>
        <w:rPr>
          <w:rFonts w:ascii="Arial" w:hAnsi="Arial"/>
          <w:b/>
          <w:color w:val="1B365D"/>
          <w:sz w:val="32"/>
        </w:rPr>
        <w:t>5. Empirical Findings &amp; Experimental Results</w:t>
      </w:r>
    </w:p>
    <w:p>
      <w:r>
        <w:t>To substantiate the strategic framework with quantitative evidence, the complete Python data pipeline was executed across a simulated dataset of 3,000 operational dispatches. The empirical results reveal striking insights into current performance vulnerabilities and the transformative potential of data science intervention.</w:t>
      </w:r>
    </w:p>
    <w:p>
      <w:pPr>
        <w:pStyle w:val="Heading2"/>
        <w:keepNext/>
        <w:spacing w:before="200" w:after="60"/>
      </w:pPr>
      <w:r>
        <w:rPr>
          <w:rFonts w:ascii="Arial" w:hAnsi="Arial"/>
          <w:b/>
          <w:color w:val="2B5C8F"/>
          <w:sz w:val="26"/>
        </w:rPr>
        <w:t>5.1 Baseline Logistics Performance &amp; KPI Diagnostics</w:t>
      </w:r>
    </w:p>
    <w:p>
      <w:r>
        <w:t>The overall baseline OTIF rate was measured at 91.73%, falling below the 96.0% corporate standard. Disaggregating performance across shipping tiers and fulfillment nodes highlights severe structural asymmetry:</w:t>
      </w:r>
    </w:p>
    <w:p>
      <w:pPr>
        <w:spacing w:before="160" w:after="80"/>
        <w:jc w:val="center"/>
      </w:pPr>
      <w:r>
        <w:drawing>
          <wp:inline xmlns:a="http://schemas.openxmlformats.org/drawingml/2006/main" xmlns:pic="http://schemas.openxmlformats.org/drawingml/2006/picture">
            <wp:extent cx="5669280" cy="4055338"/>
            <wp:docPr id="1" name="Picture 1"/>
            <wp:cNvGraphicFramePr>
              <a:graphicFrameLocks noChangeAspect="1"/>
            </wp:cNvGraphicFramePr>
            <a:graphic>
              <a:graphicData uri="http://schemas.openxmlformats.org/drawingml/2006/picture">
                <pic:pic>
                  <pic:nvPicPr>
                    <pic:cNvPr id="0" name="fig1_kpi_distribution.png"/>
                    <pic:cNvPicPr/>
                  </pic:nvPicPr>
                  <pic:blipFill>
                    <a:blip r:embed="rId9"/>
                    <a:stretch>
                      <a:fillRect/>
                    </a:stretch>
                  </pic:blipFill>
                  <pic:spPr>
                    <a:xfrm>
                      <a:off x="0" y="0"/>
                      <a:ext cx="5669280" cy="4055338"/>
                    </a:xfrm>
                    <a:prstGeom prst="rect"/>
                  </pic:spPr>
                </pic:pic>
              </a:graphicData>
            </a:graphic>
          </wp:inline>
        </w:drawing>
      </w:r>
    </w:p>
    <w:p>
      <w:pPr>
        <w:spacing w:before="40" w:after="200"/>
        <w:jc w:val="center"/>
      </w:pPr>
      <w:r>
        <w:rPr>
          <w:rFonts w:ascii="Arial" w:hAnsi="Arial"/>
          <w:i/>
          <w:color w:val="505050"/>
          <w:sz w:val="19"/>
        </w:rPr>
        <w:t>Figure 1: Comprehensive Logistics KPI Dashboard showing (A) OTIF Rate by Shipping Mode, (B) Late Delivery Rate by Warehouse Tier, (C) Delivery Cost Distribution, and (D) Transit Duration vs Distance Correlation.</w:t>
      </w:r>
    </w:p>
    <w:p>
      <w:r>
        <w:t>Core findings from Figure 1:</w:t>
        <w:br/>
        <w:t>1. Shipping Tier Vulnerability: Standard Ground deliveries achieve a 97.31% OTIF rate with 0% late deliveries. In contrast, Same-Day Express displays an alarming 16.25% late delivery rate (OTIF 81.27%), identifying rapid fulfillment as the primary failure point.</w:t>
        <w:br/>
        <w:t>2. Fulfillment Node Advantage: Orders fulfilled from urban MFCs incur an average transit time of 3.68 hours and cost $32.35/drop, compared to 6.08 hours and $40.56/drop from regional RDCs—confirming a 20.2% cost advantage and 39.5% speed advantage for urban hubs.</w:t>
        <w:br/>
        <w:t>3. Cost Skewness: Average delivery cost is $36.40, with heavy right-tail outliers exceeding $65 due to failed attempts and congestion.</w:t>
      </w:r>
    </w:p>
    <w:p>
      <w:pPr>
        <w:pStyle w:val="Heading2"/>
        <w:keepNext/>
        <w:spacing w:before="200" w:after="60"/>
      </w:pPr>
      <w:r>
        <w:rPr>
          <w:rFonts w:ascii="Arial" w:hAnsi="Arial"/>
          <w:b/>
          <w:color w:val="2B5C8F"/>
          <w:sz w:val="26"/>
        </w:rPr>
        <w:t>5.2 Machine Learning Delay Prediction &amp; Feature Importance</w:t>
      </w:r>
    </w:p>
    <w:p>
      <w:r>
        <w:t>The Balanced Random Forest delay classifier demonstrated exceptional predictive accuracy on hold-out test dispatches: Accuracy: 98.83%, Precision: 96.30%, Recall: 81.25%, F1-Score: 88.14%, and an outstanding ROC-AUC of 0.9976.</w:t>
      </w:r>
    </w:p>
    <w:p>
      <w:pPr>
        <w:spacing w:before="160" w:after="80"/>
        <w:jc w:val="center"/>
      </w:pPr>
      <w:r>
        <w:drawing>
          <wp:inline xmlns:a="http://schemas.openxmlformats.org/drawingml/2006/main" xmlns:pic="http://schemas.openxmlformats.org/drawingml/2006/picture">
            <wp:extent cx="5669280" cy="3266480"/>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5669280" cy="3266480"/>
                    </a:xfrm>
                    <a:prstGeom prst="rect"/>
                  </pic:spPr>
                </pic:pic>
              </a:graphicData>
            </a:graphic>
          </wp:inline>
        </w:drawing>
      </w:r>
    </w:p>
    <w:p>
      <w:pPr>
        <w:spacing w:before="40" w:after="200"/>
        <w:jc w:val="center"/>
      </w:pPr>
      <w:r>
        <w:rPr>
          <w:rFonts w:ascii="Arial" w:hAnsi="Arial"/>
          <w:i/>
          <w:color w:val="505050"/>
          <w:sz w:val="19"/>
        </w:rPr>
        <w:t>Figure 2: Relative Feature Importance (Gini Impurity) for Late Delivery Risk Classification using Random Forest.</w:t>
      </w:r>
    </w:p>
    <w:p>
      <w:r>
        <w:t>Figure 2 reveals that the number of Delivery Attempts is by far the single most decisive predictor of delay risk, accounting for 48.8% of model importance. When a delivery fails on its initial attempt, the probability of an SLA breach exceeds 85%. Promised SLA Hours (11.0%), Same-Day Express mode (9.9%), and Weather Severity (7.2%) represent the next key drivers. This confirms that first-attempt failure prevention is the highest-leverage intervention point for improving OTIF.</w:t>
      </w:r>
    </w:p>
    <w:p>
      <w:pPr>
        <w:pStyle w:val="Heading2"/>
        <w:keepNext/>
        <w:spacing w:before="200" w:after="60"/>
      </w:pPr>
      <w:r>
        <w:rPr>
          <w:rFonts w:ascii="Arial" w:hAnsi="Arial"/>
          <w:b/>
          <w:color w:val="2B5C8F"/>
          <w:sz w:val="26"/>
        </w:rPr>
        <w:t>5.3 Spatial Clustering for Dynamic Micro-Zone Partitioning</w:t>
      </w:r>
    </w:p>
    <w:p>
      <w:r>
        <w:t>Unsupervised K-Means clustering partitioned customer drop coordinates into four distinct operational zones (Zone Alpha, Zone Beta, Zone Gamma, Zone Delta) across the metropolitan region:</w:t>
      </w:r>
    </w:p>
    <w:p>
      <w:pPr>
        <w:spacing w:before="160" w:after="80"/>
        <w:jc w:val="center"/>
      </w:pPr>
      <w:r>
        <w:drawing>
          <wp:inline xmlns:a="http://schemas.openxmlformats.org/drawingml/2006/main" xmlns:pic="http://schemas.openxmlformats.org/drawingml/2006/picture">
            <wp:extent cx="5669280" cy="4108928"/>
            <wp:docPr id="3" name="Picture 3"/>
            <wp:cNvGraphicFramePr>
              <a:graphicFrameLocks noChangeAspect="1"/>
            </wp:cNvGraphicFramePr>
            <a:graphic>
              <a:graphicData uri="http://schemas.openxmlformats.org/drawingml/2006/picture">
                <pic:pic>
                  <pic:nvPicPr>
                    <pic:cNvPr id="0" name="fig3_spatial_clustering.png"/>
                    <pic:cNvPicPr/>
                  </pic:nvPicPr>
                  <pic:blipFill>
                    <a:blip r:embed="rId11"/>
                    <a:stretch>
                      <a:fillRect/>
                    </a:stretch>
                  </pic:blipFill>
                  <pic:spPr>
                    <a:xfrm>
                      <a:off x="0" y="0"/>
                      <a:ext cx="5669280" cy="4108928"/>
                    </a:xfrm>
                    <a:prstGeom prst="rect"/>
                  </pic:spPr>
                </pic:pic>
              </a:graphicData>
            </a:graphic>
          </wp:inline>
        </w:drawing>
      </w:r>
    </w:p>
    <w:p>
      <w:pPr>
        <w:spacing w:before="40" w:after="200"/>
        <w:jc w:val="center"/>
      </w:pPr>
      <w:r>
        <w:rPr>
          <w:rFonts w:ascii="Arial" w:hAnsi="Arial"/>
          <w:i/>
          <w:color w:val="505050"/>
          <w:sz w:val="19"/>
        </w:rPr>
        <w:t>Figure 3: Spatial Clustering of Delivery Locations with Identified Cluster Centroids (Proposed Micro-Hubs) and Regional Warehouses.</w:t>
      </w:r>
    </w:p>
    <w:p>
      <w:r>
        <w:t>As visualized in Figure 3, zoning stops by spatial density prevents van routes from traversing cross-city corridors. Crucially, the four calculated cluster centroids (yellow stars) identify mathematically optimal candidate sites for forward-deployed micro-fulfillment dark stores or mobile container hubs, cutting stem transit distance from peripheral RDCs.</w:t>
      </w:r>
    </w:p>
    <w:p>
      <w:pPr>
        <w:pStyle w:val="Heading2"/>
        <w:keepNext/>
        <w:spacing w:before="200" w:after="60"/>
      </w:pPr>
      <w:r>
        <w:rPr>
          <w:rFonts w:ascii="Arial" w:hAnsi="Arial"/>
          <w:b/>
          <w:color w:val="2B5C8F"/>
          <w:sz w:val="26"/>
        </w:rPr>
        <w:t>5.4 Combinatorial Route Optimization Simulation</w:t>
      </w:r>
    </w:p>
    <w:p>
      <w:r>
        <w:t>To test the efficiency of automated vehicle routing, a dispatch simulation was conducted on 22 delivery stops originating from MFC-Central. A legacy unoptimized (FIFO) sequence was compared against our 2-Opt TSP heuristic optimization:</w:t>
      </w:r>
    </w:p>
    <w:p>
      <w:pPr>
        <w:spacing w:before="160" w:after="80"/>
        <w:jc w:val="center"/>
      </w:pPr>
      <w:r>
        <w:drawing>
          <wp:inline xmlns:a="http://schemas.openxmlformats.org/drawingml/2006/main" xmlns:pic="http://schemas.openxmlformats.org/drawingml/2006/picture">
            <wp:extent cx="5669280" cy="2631258"/>
            <wp:docPr id="4" name="Picture 4"/>
            <wp:cNvGraphicFramePr>
              <a:graphicFrameLocks noChangeAspect="1"/>
            </wp:cNvGraphicFramePr>
            <a:graphic>
              <a:graphicData uri="http://schemas.openxmlformats.org/drawingml/2006/picture">
                <pic:pic>
                  <pic:nvPicPr>
                    <pic:cNvPr id="0" name="fig4_route_optimization.png"/>
                    <pic:cNvPicPr/>
                  </pic:nvPicPr>
                  <pic:blipFill>
                    <a:blip r:embed="rId12"/>
                    <a:stretch>
                      <a:fillRect/>
                    </a:stretch>
                  </pic:blipFill>
                  <pic:spPr>
                    <a:xfrm>
                      <a:off x="0" y="0"/>
                      <a:ext cx="5669280" cy="2631258"/>
                    </a:xfrm>
                    <a:prstGeom prst="rect"/>
                  </pic:spPr>
                </pic:pic>
              </a:graphicData>
            </a:graphic>
          </wp:inline>
        </w:drawing>
      </w:r>
    </w:p>
    <w:p>
      <w:pPr>
        <w:spacing w:before="40" w:after="200"/>
        <w:jc w:val="center"/>
      </w:pPr>
      <w:r>
        <w:rPr>
          <w:rFonts w:ascii="Arial" w:hAnsi="Arial"/>
          <w:i/>
          <w:color w:val="505050"/>
          <w:sz w:val="19"/>
        </w:rPr>
        <w:t>Figure 4: Delivery Tour Comparison for a 22-Stop Van Dispatch: (A) Unoptimized Baseline Route vs. (B) Heuristic 2-Opt Optimized Route.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80" w:type="dxa"/>
              <w:bottom w:w="80" w:type="dxa"/>
              <w:left w:w="80" w:type="dxa"/>
              <w:right w:w="80" w:type="dxa"/>
            </w:tcMar>
          </w:tcPr>
          <w:p>
            <w:pPr>
              <w:spacing w:after="0"/>
              <w:jc w:val="center"/>
            </w:pPr>
            <w:r>
              <w:rPr>
                <w:rFonts w:ascii="Arial" w:hAnsi="Arial"/>
                <w:b/>
                <w:color w:val="FFFFFF"/>
                <w:sz w:val="16"/>
              </w:rPr>
              <w:t>Operational Dimension</w:t>
            </w:r>
          </w:p>
        </w:tc>
        <w:tc>
          <w:tcPr>
            <w:tcW w:type="dxa" w:w="2160"/>
            <w:shd w:fill="1B365D"/>
            <w:tcMar>
              <w:top w:w="80" w:type="dxa"/>
              <w:bottom w:w="80" w:type="dxa"/>
              <w:left w:w="80" w:type="dxa"/>
              <w:right w:w="80" w:type="dxa"/>
            </w:tcMar>
          </w:tcPr>
          <w:p>
            <w:pPr>
              <w:spacing w:after="0"/>
              <w:jc w:val="center"/>
            </w:pPr>
            <w:r>
              <w:rPr>
                <w:rFonts w:ascii="Arial" w:hAnsi="Arial"/>
                <w:b/>
                <w:color w:val="FFFFFF"/>
                <w:sz w:val="16"/>
              </w:rPr>
              <w:t>Baseline (Unoptimized)</w:t>
            </w:r>
          </w:p>
        </w:tc>
        <w:tc>
          <w:tcPr>
            <w:tcW w:type="dxa" w:w="2160"/>
            <w:shd w:fill="1B365D"/>
            <w:tcMar>
              <w:top w:w="80" w:type="dxa"/>
              <w:bottom w:w="80" w:type="dxa"/>
              <w:left w:w="80" w:type="dxa"/>
              <w:right w:w="80" w:type="dxa"/>
            </w:tcMar>
          </w:tcPr>
          <w:p>
            <w:pPr>
              <w:spacing w:after="0"/>
              <w:jc w:val="center"/>
            </w:pPr>
            <w:r>
              <w:rPr>
                <w:rFonts w:ascii="Arial" w:hAnsi="Arial"/>
                <w:b/>
                <w:color w:val="FFFFFF"/>
                <w:sz w:val="16"/>
              </w:rPr>
              <w:t>Optimized (2-Opt TSP)</w:t>
            </w:r>
          </w:p>
        </w:tc>
        <w:tc>
          <w:tcPr>
            <w:tcW w:type="dxa" w:w="2448"/>
            <w:shd w:fill="1B365D"/>
            <w:tcMar>
              <w:top w:w="80" w:type="dxa"/>
              <w:bottom w:w="80" w:type="dxa"/>
              <w:left w:w="80" w:type="dxa"/>
              <w:right w:w="80" w:type="dxa"/>
            </w:tcMar>
          </w:tcPr>
          <w:p>
            <w:pPr>
              <w:spacing w:after="0"/>
              <w:jc w:val="center"/>
            </w:pPr>
            <w:r>
              <w:rPr>
                <w:rFonts w:ascii="Arial" w:hAnsi="Arial"/>
                <w:b/>
                <w:color w:val="FFFFFF"/>
                <w:sz w:val="16"/>
              </w:rPr>
              <w:t>Net Improvement / Savings</w:t>
            </w:r>
          </w:p>
        </w:tc>
      </w:tr>
      <w:tr>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7"/>
              </w:rPr>
              <w:t>Total Tour Road Distance</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267.39 km</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131.44 km</w:t>
            </w:r>
          </w:p>
        </w:tc>
        <w:tc>
          <w:tcPr>
            <w:tcW w:type="dxa" w:w="244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7"/>
              </w:rPr>
              <w:t>-135.95 km (-50.84%)</w:t>
            </w:r>
          </w:p>
        </w:tc>
      </w:tr>
      <w:tr>
        <w:tc>
          <w:tcPr>
            <w:tcW w:type="dxa" w:w="259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7"/>
              </w:rPr>
              <w:t>Estimated Driving Time</w:t>
            </w:r>
          </w:p>
        </w:tc>
        <w:tc>
          <w:tcPr>
            <w:tcW w:type="dxa" w:w="216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7.64 hours</w:t>
            </w:r>
          </w:p>
        </w:tc>
        <w:tc>
          <w:tcPr>
            <w:tcW w:type="dxa" w:w="216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3.75 hours</w:t>
            </w:r>
          </w:p>
        </w:tc>
        <w:tc>
          <w:tcPr>
            <w:tcW w:type="dxa" w:w="244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7"/>
              </w:rPr>
              <w:t>-3.89 hours (-50.91%)</w:t>
            </w:r>
          </w:p>
        </w:tc>
      </w:tr>
      <w:tr>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7"/>
              </w:rPr>
              <w:t>Diesel Fuel Consumption</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32.09 Liters</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15.77 Liters</w:t>
            </w:r>
          </w:p>
        </w:tc>
        <w:tc>
          <w:tcPr>
            <w:tcW w:type="dxa" w:w="244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7"/>
              </w:rPr>
              <w:t>-16.31 Liters (-50.83%)</w:t>
            </w:r>
          </w:p>
        </w:tc>
      </w:tr>
      <w:tr>
        <w:tc>
          <w:tcPr>
            <w:tcW w:type="dxa" w:w="259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7"/>
              </w:rPr>
              <w:t>Carbon Emissions (CO2e)</w:t>
            </w:r>
          </w:p>
        </w:tc>
        <w:tc>
          <w:tcPr>
            <w:tcW w:type="dxa" w:w="216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86.00 kg CO2e</w:t>
            </w:r>
          </w:p>
        </w:tc>
        <w:tc>
          <w:tcPr>
            <w:tcW w:type="dxa" w:w="216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42.27 kg CO2e</w:t>
            </w:r>
          </w:p>
        </w:tc>
        <w:tc>
          <w:tcPr>
            <w:tcW w:type="dxa" w:w="244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7"/>
              </w:rPr>
              <w:t>-43.73 kg CO2e (-50.85%)</w:t>
            </w:r>
          </w:p>
        </w:tc>
      </w:tr>
      <w:tr>
        <w:tc>
          <w:tcPr>
            <w:tcW w:type="dxa" w:w="259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7"/>
              </w:rPr>
              <w:t>Estimated Driver Labor Cost</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$194.82</w:t>
            </w:r>
          </w:p>
        </w:tc>
        <w:tc>
          <w:tcPr>
            <w:tcW w:type="dxa" w:w="216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7"/>
              </w:rPr>
              <w:t>$95.63</w:t>
            </w:r>
          </w:p>
        </w:tc>
        <w:tc>
          <w:tcPr>
            <w:tcW w:type="dxa" w:w="244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color w:val="1E823C"/>
                <w:sz w:val="17"/>
              </w:rPr>
              <w:t>-$99.19 (-50.91%)</w:t>
            </w:r>
          </w:p>
        </w:tc>
      </w:tr>
    </w:tbl>
    <w:p>
      <w:pPr>
        <w:spacing w:after="160"/>
      </w:pPr>
    </w:p>
    <w:p>
      <w:pPr>
        <w:pStyle w:val="Heading1"/>
        <w:keepNext/>
        <w:spacing w:before="280" w:after="80"/>
      </w:pPr>
      <w:r>
        <w:rPr>
          <w:rFonts w:ascii="Arial" w:hAnsi="Arial"/>
          <w:b/>
          <w:color w:val="1B365D"/>
          <w:sz w:val="32"/>
        </w:rPr>
        <w:t>6. Business Impact, Risk Analysis &amp; Recommendations</w:t>
      </w:r>
    </w:p>
    <w:p>
      <w:pPr>
        <w:pStyle w:val="Heading2"/>
        <w:keepNext/>
        <w:spacing w:before="200" w:after="60"/>
      </w:pPr>
      <w:r>
        <w:rPr>
          <w:rFonts w:ascii="Arial" w:hAnsi="Arial"/>
          <w:b/>
          <w:color w:val="2B5C8F"/>
          <w:sz w:val="26"/>
        </w:rPr>
        <w:t>6.1 Quantified Financial ROI &amp; Value Creation</w:t>
      </w:r>
    </w:p>
    <w:p>
      <w:r>
        <w:t>Extrapolating these empirical findings across an enterprise fleet of 120 delivery vans executing 300,000 annual deliveries yields compelling economic returns:</w:t>
        <w:br/>
        <w:t>1. Fleet Fuel &amp; Maintenance Savings: A 30% sustained mileage reduction across daily routes eliminates ~850,000 km of driving, saving an estimated $272,000 in fuel and avoiding 270 metric tons of CO2e annually.</w:t>
        <w:br/>
        <w:t>2. Overtime Elimination: Reducing driving hours per route by 3.8 hours cuts peak-season driver overtime by $480,000/year.</w:t>
        <w:br/>
        <w:t>3. First-Attempt Failure Avoidance: Predictive pre-dispatch intervention drops re-attempt rates from 13.4% to &lt;5%, saving $165,000/year.</w:t>
      </w:r>
    </w:p>
    <w:p>
      <w:pPr>
        <w:pStyle w:val="Heading2"/>
        <w:keepNext/>
        <w:spacing w:before="200" w:after="60"/>
      </w:pPr>
      <w:r>
        <w:rPr>
          <w:rFonts w:ascii="Arial" w:hAnsi="Arial"/>
          <w:b/>
          <w:color w:val="2B5C8F"/>
          <w:sz w:val="26"/>
        </w:rPr>
        <w:t>6.2 Risk Assessment &amp; Governance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80" w:type="dxa"/>
              <w:bottom w:w="80" w:type="dxa"/>
              <w:left w:w="80" w:type="dxa"/>
              <w:right w:w="80" w:type="dxa"/>
            </w:tcMar>
          </w:tcPr>
          <w:p>
            <w:pPr>
              <w:spacing w:after="0"/>
              <w:jc w:val="center"/>
            </w:pPr>
            <w:r>
              <w:rPr>
                <w:rFonts w:ascii="Arial" w:hAnsi="Arial"/>
                <w:b/>
                <w:color w:val="FFFFFF"/>
                <w:sz w:val="16"/>
              </w:rPr>
              <w:t>Risk Domain</w:t>
            </w:r>
          </w:p>
        </w:tc>
        <w:tc>
          <w:tcPr>
            <w:tcW w:type="dxa" w:w="2880"/>
            <w:shd w:fill="1B365D"/>
            <w:tcMar>
              <w:top w:w="80" w:type="dxa"/>
              <w:bottom w:w="80" w:type="dxa"/>
              <w:left w:w="80" w:type="dxa"/>
              <w:right w:w="80" w:type="dxa"/>
            </w:tcMar>
          </w:tcPr>
          <w:p>
            <w:pPr>
              <w:spacing w:after="0"/>
              <w:jc w:val="center"/>
            </w:pPr>
            <w:r>
              <w:rPr>
                <w:rFonts w:ascii="Arial" w:hAnsi="Arial"/>
                <w:b/>
                <w:color w:val="FFFFFF"/>
                <w:sz w:val="16"/>
              </w:rPr>
              <w:t>Risk Description</w:t>
            </w:r>
          </w:p>
        </w:tc>
        <w:tc>
          <w:tcPr>
            <w:tcW w:type="dxa" w:w="1872"/>
            <w:shd w:fill="1B365D"/>
            <w:tcMar>
              <w:top w:w="80" w:type="dxa"/>
              <w:bottom w:w="80" w:type="dxa"/>
              <w:left w:w="80" w:type="dxa"/>
              <w:right w:w="80" w:type="dxa"/>
            </w:tcMar>
          </w:tcPr>
          <w:p>
            <w:pPr>
              <w:spacing w:after="0"/>
              <w:jc w:val="center"/>
            </w:pPr>
            <w:r>
              <w:rPr>
                <w:rFonts w:ascii="Arial" w:hAnsi="Arial"/>
                <w:b/>
                <w:color w:val="FFFFFF"/>
                <w:sz w:val="16"/>
              </w:rPr>
              <w:t>Severity / Likelihood</w:t>
            </w:r>
          </w:p>
        </w:tc>
        <w:tc>
          <w:tcPr>
            <w:tcW w:type="dxa" w:w="2880"/>
            <w:shd w:fill="1B365D"/>
            <w:tcMar>
              <w:top w:w="80" w:type="dxa"/>
              <w:bottom w:w="80" w:type="dxa"/>
              <w:left w:w="80" w:type="dxa"/>
              <w:right w:w="80" w:type="dxa"/>
            </w:tcMar>
          </w:tcPr>
          <w:p>
            <w:pPr>
              <w:spacing w:after="0"/>
              <w:jc w:val="center"/>
            </w:pPr>
            <w:r>
              <w:rPr>
                <w:rFonts w:ascii="Arial" w:hAnsi="Arial"/>
                <w:b/>
                <w:color w:val="FFFFFF"/>
                <w:sz w:val="16"/>
              </w:rPr>
              <w:t>Mitigation Strategy</w:t>
            </w:r>
          </w:p>
        </w:tc>
      </w:tr>
      <w:tr>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Data Latency &amp; Quality</w:t>
            </w:r>
          </w:p>
        </w:tc>
        <w:tc>
          <w:tcPr>
            <w:tcW w:type="dxa" w:w="288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WMS/TMS GPS dropouts, stale inventory counts.</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High / Medium</w:t>
            </w:r>
          </w:p>
        </w:tc>
        <w:tc>
          <w:tcPr>
            <w:tcW w:type="dxa" w:w="288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Implement streaming validation (Great Expectations) with automatic fallback schemas.</w:t>
            </w:r>
          </w:p>
        </w:tc>
      </w:tr>
      <w:tr>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Driver Non-Compliance</w:t>
            </w:r>
          </w:p>
        </w:tc>
        <w:tc>
          <w:tcPr>
            <w:tcW w:type="dxa" w:w="288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Drivers bypass algorithmic routes due to perceived lack of nuance.</w:t>
            </w:r>
          </w:p>
        </w:tc>
        <w:tc>
          <w:tcPr>
            <w:tcW w:type="dxa" w:w="187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High / High</w:t>
            </w:r>
          </w:p>
        </w:tc>
        <w:tc>
          <w:tcPr>
            <w:tcW w:type="dxa" w:w="288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Driver mobile UI with real-time traffic overlay, turn-by-turn guidance, and gamified incentives.</w:t>
            </w:r>
          </w:p>
        </w:tc>
      </w:tr>
      <w:tr>
        <w:tc>
          <w:tcPr>
            <w:tcW w:type="dxa" w:w="1728"/>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Concept &amp; Data Drift</w:t>
            </w:r>
          </w:p>
        </w:tc>
        <w:tc>
          <w:tcPr>
            <w:tcW w:type="dxa" w:w="288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Holiday surges (Cyber Week) distort historical traffic and demand.</w:t>
            </w:r>
          </w:p>
        </w:tc>
        <w:tc>
          <w:tcPr>
            <w:tcW w:type="dxa" w:w="1872"/>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Medium / High</w:t>
            </w:r>
          </w:p>
        </w:tc>
        <w:tc>
          <w:tcPr>
            <w:tcW w:type="dxa" w:w="2880"/>
            <w:shd w:fill="FFFFFF"/>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Continuous MLOps drift monitoring (Evidently AI) triggering automated bi-weekly retraining.</w:t>
            </w:r>
          </w:p>
        </w:tc>
      </w:tr>
      <w:tr>
        <w:tc>
          <w:tcPr>
            <w:tcW w:type="dxa" w:w="1728"/>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b/>
                <w:sz w:val="16"/>
              </w:rPr>
              <w:t>Model Overfitting</w:t>
            </w:r>
          </w:p>
        </w:tc>
        <w:tc>
          <w:tcPr>
            <w:tcW w:type="dxa" w:w="288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Overly tight route optimization leaves no slack for urban delays.</w:t>
            </w:r>
          </w:p>
        </w:tc>
        <w:tc>
          <w:tcPr>
            <w:tcW w:type="dxa" w:w="1872"/>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Medium / Medium</w:t>
            </w:r>
          </w:p>
        </w:tc>
        <w:tc>
          <w:tcPr>
            <w:tcW w:type="dxa" w:w="2880"/>
            <w:shd w:fill="F8FAFC"/>
            <w:tcMar>
              <w:top w:w="60" w:type="dxa"/>
              <w:bottom w:w="60" w:type="dxa"/>
              <w:left w:w="70" w:type="dxa"/>
              <w:right w:w="70" w:type="dxa"/>
            </w:tcMar>
            <w:tcBorders>
              <w:top w:val="single" w:sz="4" w:space="0" w:color="D0D7DE"/>
              <w:bottom w:val="single" w:sz="4" w:space="0" w:color="D0D7DE"/>
              <w:left w:val="none"/>
              <w:right w:val="none"/>
            </w:tcBorders>
          </w:tcPr>
          <w:p>
            <w:pPr>
              <w:spacing w:after="0"/>
            </w:pPr>
            <w:r>
              <w:rPr>
                <w:rFonts w:ascii="Calibri" w:hAnsi="Calibri"/>
                <w:sz w:val="16"/>
              </w:rPr>
              <w:t>Enforce dynamic buffer windows (10-15% slack factor) in the CVRPTW solver.</w:t>
            </w:r>
          </w:p>
        </w:tc>
      </w:tr>
    </w:tbl>
    <w:p>
      <w:pPr>
        <w:pStyle w:val="Heading1"/>
        <w:keepNext/>
        <w:spacing w:before="280" w:after="80"/>
      </w:pPr>
      <w:r>
        <w:rPr>
          <w:rFonts w:ascii="Arial" w:hAnsi="Arial"/>
          <w:b/>
          <w:color w:val="1B365D"/>
          <w:sz w:val="32"/>
        </w:rPr>
        <w:t>7. Conclusion &amp; Strategic Next Steps</w:t>
      </w:r>
    </w:p>
    <w:p>
      <w:r>
        <w:t>The Week 1 strategic planning report demonstrates that an integrated machine learning and operations research architecture fundamentally transforms urban logistics economics. By combining early-warning delay prediction (0.9976 ROC-AUC), spatial micro-zoning, and heuristic route optimization (50.84% mileage reduction), the enterprise is primed to exceed the 96% OTIF threshold while saving nearly $1M annually.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top w:val="none"/>
              <w:bottom w:val="none"/>
              <w:left w:val="single" w:sz="24" w:space="0" w:color="1B365D"/>
              <w:right w:val="none"/>
            </w:tcBorders>
          </w:tcPr>
          <w:p>
            <w:pPr>
              <w:spacing w:before="0" w:after="40"/>
            </w:pPr>
            <w:r>
              <w:rPr>
                <w:rFonts w:ascii="Arial" w:hAnsi="Arial"/>
                <w:b/>
                <w:color w:val="1B365D"/>
                <w:sz w:val="20"/>
              </w:rPr>
              <w:t xml:space="preserve">[WEEK 2 EXECUTION ROADMAP] </w:t>
            </w:r>
            <w:r>
              <w:rPr>
                <w:rFonts w:ascii="Calibri" w:hAnsi="Calibri"/>
                <w:color w:val="282828"/>
                <w:sz w:val="21"/>
              </w:rPr>
              <w:t>Immediate Action Items for Week 2:</w:t>
              <w:br/>
              <w:t>1. Productionize Kafka ingestion pipelines connecting WMS and TMS databases into the central lakehouse.</w:t>
              <w:br/>
              <w:t>2. Deploy a 10-van A/B operational pilot in Urban Zone Beta comparing 2-Opt dispatch against legacy FIFO routing.</w:t>
              <w:br/>
              <w:t>3. Incorporate live weather and OSRM real-time traffic distance matrices into the pre-dispatch scoring service.</w:t>
            </w:r>
          </w:p>
        </w:tc>
      </w:tr>
    </w:tbl>
    <w:p>
      <w:pPr>
        <w:spacing w:before="0" w:after="120"/>
      </w:pPr>
    </w:p>
    <w:p>
      <w:pPr>
        <w:pStyle w:val="Heading1"/>
        <w:keepNext/>
        <w:spacing w:before="280" w:after="80"/>
      </w:pPr>
      <w:r>
        <w:rPr>
          <w:rFonts w:ascii="Arial" w:hAnsi="Arial"/>
          <w:b/>
          <w:color w:val="1B365D"/>
          <w:sz w:val="32"/>
        </w:rPr>
        <w:t>8. References &amp; Academic Citations</w:t>
      </w:r>
    </w:p>
    <w:p>
      <w:pPr>
        <w:pStyle w:val="ListBullet"/>
        <w:spacing w:after="40"/>
      </w:pPr>
      <w:r>
        <w:rPr>
          <w:rFonts w:ascii="Calibri" w:hAnsi="Calibri"/>
          <w:color w:val="3C3C3C"/>
          <w:sz w:val="17"/>
        </w:rPr>
        <w:t>Amazon Last-Mile Routing Research Challenge Dataset (2021). Amazon.com Inc. &amp; MIT Center for Transportation &amp; Logistics.</w:t>
      </w:r>
    </w:p>
    <w:p>
      <w:pPr>
        <w:pStyle w:val="ListBullet"/>
        <w:spacing w:after="40"/>
      </w:pPr>
      <w:r>
        <w:rPr>
          <w:rFonts w:ascii="Calibri" w:hAnsi="Calibri"/>
          <w:color w:val="3C3C3C"/>
          <w:sz w:val="17"/>
        </w:rPr>
        <w:t>DataCo Global Supply Chain Intelligence Dataset (2019). Kaggle Public Repository.</w:t>
      </w:r>
    </w:p>
    <w:p>
      <w:pPr>
        <w:pStyle w:val="ListBullet"/>
        <w:spacing w:after="40"/>
      </w:pPr>
      <w:r>
        <w:rPr>
          <w:rFonts w:ascii="Calibri" w:hAnsi="Calibri"/>
          <w:color w:val="3C3C3C"/>
          <w:sz w:val="17"/>
        </w:rPr>
        <w:t>Dantzig, G. B., &amp; Ramser, J. H. (1959). The truck dispatching problem. Management Science, 6(1), 80-91.</w:t>
      </w:r>
    </w:p>
    <w:p>
      <w:pPr>
        <w:pStyle w:val="ListBullet"/>
        <w:spacing w:after="40"/>
      </w:pPr>
      <w:r>
        <w:rPr>
          <w:rFonts w:ascii="Calibri" w:hAnsi="Calibri"/>
          <w:color w:val="3C3C3C"/>
          <w:sz w:val="17"/>
        </w:rPr>
        <w:t>Toth, P., &amp; Vigo, D. (Eds.). (2002). The vehicle routing problem. Society for Industrial and Applied Mathematics (SIAM).</w:t>
      </w:r>
    </w:p>
    <w:p>
      <w:pPr>
        <w:pStyle w:val="ListBullet"/>
        <w:spacing w:after="40"/>
      </w:pPr>
      <w:r>
        <w:rPr>
          <w:rFonts w:ascii="Calibri" w:hAnsi="Calibri"/>
          <w:color w:val="3C3C3C"/>
          <w:sz w:val="17"/>
        </w:rPr>
        <w:t>Silver, E. A., Pyke, D. F., &amp; Peterson, R. (1998). Inventory management and production planning and scheduling. John Wiley &amp; Sons.</w:t>
      </w:r>
    </w:p>
    <w:p>
      <w:pPr>
        <w:pStyle w:val="ListBullet"/>
        <w:spacing w:after="40"/>
      </w:pPr>
      <w:r>
        <w:rPr>
          <w:rFonts w:ascii="Calibri" w:hAnsi="Calibri"/>
          <w:color w:val="3C3C3C"/>
          <w:sz w:val="17"/>
        </w:rPr>
        <w:t>U.S. Department of Transportation, Bureau of Transportation Statistics (BTS). (2023). Freight Analysis Framework (FAF5).</w:t>
      </w:r>
    </w:p>
    <w:p>
      <w:pPr>
        <w:pStyle w:val="ListBullet"/>
        <w:spacing w:after="40"/>
      </w:pPr>
      <w:r>
        <w:rPr>
          <w:rFonts w:ascii="Calibri" w:hAnsi="Calibri"/>
          <w:color w:val="3C3C3C"/>
          <w:sz w:val="17"/>
        </w:rPr>
        <w:t>Chen, T., &amp; Guestrin, C. (2016). XGBoost: A scalable tree boosting system. ACM SIGKDD (pp. 785-794).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